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4" w:rsidRDefault="00500A14" w:rsidP="00500A14">
      <w:pPr>
        <w:widowControl w:val="0"/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81050" cy="9144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14" w:rsidRDefault="00500A14" w:rsidP="00500A14">
      <w:pPr>
        <w:widowControl w:val="0"/>
        <w:spacing w:after="0" w:line="240" w:lineRule="auto"/>
        <w:jc w:val="center"/>
        <w:rPr>
          <w:rFonts w:ascii="Arial Narrow" w:hAnsi="Arial Narrow"/>
        </w:rPr>
      </w:pPr>
    </w:p>
    <w:p w:rsidR="00500A14" w:rsidRDefault="00500A14" w:rsidP="00500A14">
      <w:pPr>
        <w:widowControl w:val="0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500A14" w:rsidRDefault="00500A14" w:rsidP="00500A14">
      <w:pPr>
        <w:widowControl w:val="0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500A14" w:rsidRDefault="00500A14" w:rsidP="00500A14">
      <w:pPr>
        <w:widowControl w:val="0"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500A14" w:rsidRDefault="00500A14" w:rsidP="00500A14">
      <w:pPr>
        <w:widowControl w:val="0"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500A14" w:rsidRDefault="00500A14" w:rsidP="00500A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00A14" w:rsidRDefault="00500A14" w:rsidP="00AB3F5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500A14" w:rsidRDefault="00500A14" w:rsidP="00AB3F5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AB3F5F" w:rsidRPr="00575C73" w:rsidRDefault="00AB3F5F" w:rsidP="00AB3F5F">
      <w:pPr>
        <w:spacing w:after="0" w:line="360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</w:t>
      </w:r>
      <w:r w:rsidR="00494E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8D6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марта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8D6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</w:t>
      </w:r>
      <w:r w:rsidR="00A731B9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416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8D6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416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A731B9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8D6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A731B9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494E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123</w:t>
      </w:r>
    </w:p>
    <w:p w:rsidR="00372B4D" w:rsidRPr="00575C73" w:rsidRDefault="00372B4D" w:rsidP="00AB3F5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3F5F" w:rsidRPr="00575C73" w:rsidRDefault="00AB3F5F" w:rsidP="00AB3F5F">
      <w:pPr>
        <w:spacing w:after="0" w:line="360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утверждении положения</w:t>
      </w:r>
      <w:r w:rsidR="00416F04" w:rsidRPr="00416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6F04" w:rsidRPr="003879E5">
        <w:rPr>
          <w:rFonts w:ascii="Times New Roman" w:hAnsi="Times New Roman"/>
          <w:sz w:val="24"/>
          <w:szCs w:val="24"/>
          <w:lang w:eastAsia="ru-RU"/>
        </w:rPr>
        <w:t>о приемочной комиссии</w:t>
      </w:r>
    </w:p>
    <w:p w:rsidR="00575C73" w:rsidRDefault="00575C73" w:rsidP="00372B4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3F5F" w:rsidRPr="00575C73" w:rsidRDefault="00AB3F5F" w:rsidP="00372B4D">
      <w:pPr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</w:t>
      </w:r>
      <w:r w:rsid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ым законом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Закон), </w:t>
      </w:r>
      <w:r w:rsid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 Мшинского сельского поселения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ПОСТАНОВЛЯЕТ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16F04" w:rsidRDefault="00416F04" w:rsidP="00575C7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3F5F" w:rsidRDefault="00AB3F5F" w:rsidP="00575C7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Утвердить Положение </w:t>
      </w:r>
      <w:r w:rsidR="00575C73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="00416F04" w:rsidRPr="003879E5">
        <w:rPr>
          <w:rFonts w:ascii="Times New Roman" w:hAnsi="Times New Roman"/>
          <w:sz w:val="24"/>
          <w:szCs w:val="24"/>
          <w:lang w:eastAsia="ru-RU"/>
        </w:rPr>
        <w:t xml:space="preserve"> приемочной комиссии 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 приложению.</w:t>
      </w:r>
    </w:p>
    <w:p w:rsidR="00416F04" w:rsidRPr="00575C73" w:rsidRDefault="00416F04" w:rsidP="00575C73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D3F52" w:rsidRPr="008D3F52" w:rsidRDefault="00AB3F5F" w:rsidP="008D3F52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Постановление</w:t>
      </w:r>
      <w:r w:rsidR="00575C73"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75C73" w:rsidRPr="008D3F52">
        <w:rPr>
          <w:rFonts w:ascii="Times New Roman" w:hAnsi="Times New Roman"/>
          <w:sz w:val="24"/>
          <w:szCs w:val="24"/>
          <w:lang w:eastAsia="ru-RU"/>
        </w:rPr>
        <w:t xml:space="preserve">администрации Мшинского сельского поселения  Лужского муниципального района </w:t>
      </w: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575C73"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209/ПК</w:t>
      </w: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575C73"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16.08.2021</w:t>
      </w:r>
      <w:r w:rsidR="00372B4D"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года </w:t>
      </w:r>
      <w:r w:rsidR="00575C73"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8D3F52"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утверждении положения</w:t>
      </w:r>
    </w:p>
    <w:p w:rsidR="00AB3F5F" w:rsidRDefault="008D3F52" w:rsidP="008D3F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порядке приёмки поставленного товара, результатов выполненной работы или оказанной услуги и проведения экспертизы» </w:t>
      </w:r>
      <w:r w:rsidR="00AB3F5F"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признать утратившим силу.</w:t>
      </w:r>
    </w:p>
    <w:p w:rsidR="00A7347A" w:rsidRPr="008D3F52" w:rsidRDefault="00A7347A" w:rsidP="008D3F52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B3F5F" w:rsidRPr="00575C73" w:rsidRDefault="008D3F52" w:rsidP="00372B4D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AB3F5F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AB3F5F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AB3F5F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распоряжения оставляю за собой.</w:t>
      </w:r>
    </w:p>
    <w:p w:rsidR="00AB3F5F" w:rsidRPr="00575C73" w:rsidRDefault="00AB3F5F" w:rsidP="00372B4D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B3F5F" w:rsidRPr="00575C73" w:rsidRDefault="008D3F52" w:rsidP="00AB3F5F">
      <w:pPr>
        <w:spacing w:after="0" w:line="360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И.о. главы</w:t>
      </w:r>
      <w:r w:rsidR="00AB3F5F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</w:p>
    <w:p w:rsidR="00AB3F5F" w:rsidRPr="00575C73" w:rsidRDefault="00372B4D" w:rsidP="008D3F52">
      <w:pPr>
        <w:spacing w:after="0" w:line="360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Мшинского</w:t>
      </w:r>
      <w:r w:rsidR="00AB3F5F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  <w:r w:rsid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AB3F5F" w:rsidRPr="00575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В.В. </w:t>
      </w:r>
      <w:proofErr w:type="spellStart"/>
      <w:r w:rsid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Картавенко</w:t>
      </w:r>
      <w:proofErr w:type="spellEnd"/>
    </w:p>
    <w:p w:rsidR="008D3F52" w:rsidRDefault="008D3F52" w:rsidP="00AB3F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D3F52" w:rsidRDefault="008D3F52" w:rsidP="00AB3F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6F04" w:rsidRDefault="00416F04" w:rsidP="00AB3F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6F04" w:rsidRDefault="00416F04" w:rsidP="00AB3F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6F04" w:rsidRDefault="00416F04" w:rsidP="00AB3F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6F04" w:rsidRDefault="00416F04" w:rsidP="00AB3F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6F04" w:rsidRDefault="00416F04" w:rsidP="00AB3F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D3F52" w:rsidRDefault="008D3F52" w:rsidP="00AB3F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D3F52" w:rsidRPr="008D3F52" w:rsidRDefault="008D3F52" w:rsidP="008D3F5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D3F5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Разослано: в прокуратуру, в дело</w:t>
      </w:r>
    </w:p>
    <w:p w:rsidR="00AB3F5F" w:rsidRPr="008D3F52" w:rsidRDefault="00AB3F5F" w:rsidP="00AB3F5F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AB3F5F" w:rsidRPr="008D3F52" w:rsidRDefault="00AB3F5F" w:rsidP="00AB3F5F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Постановлению</w:t>
      </w:r>
    </w:p>
    <w:p w:rsidR="00AB3F5F" w:rsidRPr="008D3F52" w:rsidRDefault="00AB3F5F" w:rsidP="00AB3F5F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Bookmark"/>
      <w:bookmarkEnd w:id="0"/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</w:t>
      </w:r>
      <w:r w:rsid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</w:t>
      </w: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марта</w:t>
      </w: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bookmarkStart w:id="1" w:name="_GoBack"/>
      <w:bookmarkEnd w:id="1"/>
      <w:r w:rsidR="008D3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123</w:t>
      </w:r>
    </w:p>
    <w:p w:rsidR="00416F04" w:rsidRDefault="00416F04" w:rsidP="00AB3F5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16F04" w:rsidRPr="00416F04" w:rsidRDefault="00416F04" w:rsidP="00AB3F5F">
      <w:pPr>
        <w:spacing w:after="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416F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Положение  </w:t>
      </w:r>
      <w:r w:rsidRPr="00416F04">
        <w:rPr>
          <w:rFonts w:ascii="Times New Roman" w:hAnsi="Times New Roman"/>
          <w:b/>
          <w:sz w:val="24"/>
          <w:szCs w:val="24"/>
          <w:lang w:eastAsia="ru-RU"/>
        </w:rPr>
        <w:t>о приемочной комиссии</w:t>
      </w:r>
    </w:p>
    <w:p w:rsidR="00416F04" w:rsidRDefault="00416F04" w:rsidP="00AB3F5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 w:rsidR="00494E19">
        <w:rPr>
          <w:rFonts w:ascii="Times New Roman" w:hAnsi="Times New Roman"/>
          <w:sz w:val="24"/>
          <w:szCs w:val="24"/>
          <w:lang w:eastAsia="ru-RU"/>
        </w:rPr>
        <w:t>а</w:t>
      </w:r>
      <w:r w:rsidRPr="00034E02">
        <w:rPr>
          <w:rFonts w:ascii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34E02">
        <w:rPr>
          <w:rFonts w:ascii="Times New Roman" w:hAnsi="Times New Roman"/>
          <w:sz w:val="24"/>
          <w:szCs w:val="24"/>
          <w:lang w:eastAsia="ru-RU"/>
        </w:rPr>
        <w:t xml:space="preserve"> Мшинского сельского поселения Лужского муниципального района Ленинградской области (далее – Заказчик)</w:t>
      </w:r>
      <w:proofErr w:type="gramEnd"/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Комиссия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  <w:proofErr w:type="gramEnd"/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3.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416F04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</w:t>
      </w:r>
      <w:r w:rsidRPr="003879E5">
        <w:rPr>
          <w:rFonts w:ascii="Times New Roman" w:hAnsi="Times New Roman"/>
          <w:sz w:val="24"/>
          <w:szCs w:val="24"/>
          <w:lang w:eastAsia="ru-RU"/>
        </w:rPr>
        <w:t>остав и срок действия Комиссии определя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494E19">
        <w:rPr>
          <w:rFonts w:ascii="Times New Roman" w:hAnsi="Times New Roman"/>
          <w:sz w:val="24"/>
          <w:szCs w:val="24"/>
          <w:lang w:eastAsia="ru-RU"/>
        </w:rPr>
        <w:t>Распоряжением а</w:t>
      </w:r>
      <w:r w:rsidRPr="00034E02">
        <w:rPr>
          <w:rFonts w:ascii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34E02">
        <w:rPr>
          <w:rFonts w:ascii="Times New Roman" w:hAnsi="Times New Roman"/>
          <w:sz w:val="24"/>
          <w:szCs w:val="24"/>
          <w:lang w:eastAsia="ru-RU"/>
        </w:rPr>
        <w:t xml:space="preserve"> Мшинского сельского поселения Лужского муниципального района Ленинградской области 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5.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лица, подавшие заявку на участие в определении поставщика;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6. Функциями Комиссии являются: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lastRenderedPageBreak/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7. Члены Комиссии имеют право: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обращаться к председателю Комиссии с предложениями, касающимися организации работы Комиссии.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8. Члены Комиссии обязаны: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соблюдать законодательство Российской Федерации;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лично присутствовать на заседаниях Комиссии;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подписывать оформляемые в ходе заседаний Комиссии протоколы и решения;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принимать решения по вопросам, относящимся к компетенции Комиссии;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незамедлительно сообщать Заказчику о фактах, препятствующих участию в работе Комиссии.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9.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40"/>
      <w:bookmarkEnd w:id="2"/>
      <w:r w:rsidRPr="003879E5">
        <w:rPr>
          <w:rFonts w:ascii="Times New Roman" w:hAnsi="Times New Roman"/>
          <w:sz w:val="24"/>
          <w:szCs w:val="24"/>
          <w:lang w:eastAsia="ru-RU"/>
        </w:rPr>
        <w:t xml:space="preserve">10. Члены Комиссии должны быть уведомлены о месте, дате и времени проведения заседания, выездной проверки не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11. Комиссию возглавляет председатель Комиссии.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Председатель Комиссии выполняет следующие функции: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работой Комиссии;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назначает время и место проведения заседания, выездной проверки;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ведет заседание Комиссии;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определяет порядок рассмотрения обсуждаемых вопросов;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выносит на обсуждение вопрос о привлечении к работе Комиссии экспертов в случаях, предусмотренных Законом N 44-ФЗ, а также когда это необходимо в связи со спецификой результатов исполнения контракта;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осуществляет иные действия, необходимые для выполнения Комиссией своих функций.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12. Секретарь Комиссии выполняет следующие функции: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lastRenderedPageBreak/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информирует членов Комиссии по всем вопросам, относящимся к их функциям;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ведет протоколы, оформляет решения в ходе работы Комиссии;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обеспечивает взаимодействие с контрактной службой Заказчика.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13. Комиссия правомочна принимать решение, если оно достигнуто единогласно всеми ее членами.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15.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16.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N 44-ФЗ)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861F1D">
        <w:rPr>
          <w:rFonts w:ascii="Times New Roman" w:hAnsi="Times New Roman"/>
          <w:sz w:val="24"/>
          <w:szCs w:val="24"/>
          <w:lang w:eastAsia="ru-RU"/>
        </w:rPr>
        <w:t>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416F04" w:rsidRPr="003879E5" w:rsidRDefault="00416F04" w:rsidP="00416F0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 после членов Комиссии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в ЕИС.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Если документ о приемке, мотивированный отказ от его подписания составлен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и подписан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членами Комиссии </w:t>
      </w:r>
      <w:r w:rsidRPr="003879E5">
        <w:rPr>
          <w:rFonts w:ascii="Times New Roman" w:hAnsi="Times New Roman"/>
          <w:sz w:val="24"/>
          <w:szCs w:val="24"/>
          <w:lang w:eastAsia="ru-RU"/>
        </w:rPr>
        <w:t>без использования электронных подписей и ЕИС, Заказчик прилагает подписанные ими документы в форме электронных обра</w:t>
      </w:r>
      <w:r>
        <w:rPr>
          <w:rFonts w:ascii="Times New Roman" w:hAnsi="Times New Roman"/>
          <w:sz w:val="24"/>
          <w:szCs w:val="24"/>
          <w:lang w:eastAsia="ru-RU"/>
        </w:rPr>
        <w:t>зов (скана) бумажных документов.</w:t>
      </w:r>
    </w:p>
    <w:p w:rsidR="00416F04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>. 13 ст. 94 Закона N 44-ФЗ.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F1D">
        <w:rPr>
          <w:rFonts w:ascii="Times New Roman" w:hAnsi="Times New Roman"/>
          <w:sz w:val="24"/>
          <w:szCs w:val="24"/>
          <w:lang w:eastAsia="ru-RU"/>
        </w:rPr>
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17.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18.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N 44-ФЗ в порядке и в сроки, которые установлены контрактом, обеспечение исполнения контракта в части последующего обслуживания при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19. Приемочная Комиссия, в соответствии с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>. 8 ст. 94 Закона N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416F04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20. В случае если в соответствии с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>. 3, 4.1 ст. 94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Заказчик вправе не привлекать экспертов, экспертные организации для приемки товаров, работ, услуг, в таком случае,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 Составление дополнительных документов не требуется.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>. 2, 3 ст. 2 Закона N 44-ФЗ.</w:t>
      </w:r>
    </w:p>
    <w:p w:rsidR="00416F04" w:rsidRPr="003879E5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3879E5">
        <w:rPr>
          <w:rFonts w:ascii="Times New Roman" w:hAnsi="Times New Roman"/>
          <w:sz w:val="24"/>
          <w:szCs w:val="24"/>
          <w:lang w:eastAsia="ru-RU"/>
        </w:rPr>
        <w:t>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416F04" w:rsidRDefault="00416F04" w:rsidP="0041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3879E5">
        <w:rPr>
          <w:rFonts w:ascii="Times New Roman" w:hAnsi="Times New Roman"/>
          <w:sz w:val="24"/>
          <w:szCs w:val="24"/>
          <w:lang w:eastAsia="ru-RU"/>
        </w:rPr>
        <w:t>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372B4D" w:rsidRPr="00500A14" w:rsidRDefault="00372B4D" w:rsidP="00416F04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sectPr w:rsidR="00372B4D" w:rsidRPr="00500A14" w:rsidSect="00B2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5F"/>
    <w:rsid w:val="00372B4D"/>
    <w:rsid w:val="00416F04"/>
    <w:rsid w:val="00490251"/>
    <w:rsid w:val="00494E19"/>
    <w:rsid w:val="00500A14"/>
    <w:rsid w:val="00575C73"/>
    <w:rsid w:val="006821C6"/>
    <w:rsid w:val="007D13EB"/>
    <w:rsid w:val="008D3F52"/>
    <w:rsid w:val="008D6B00"/>
    <w:rsid w:val="00A731B9"/>
    <w:rsid w:val="00A7347A"/>
    <w:rsid w:val="00AB065F"/>
    <w:rsid w:val="00AB3F5F"/>
    <w:rsid w:val="00B26F44"/>
    <w:rsid w:val="00F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7</cp:revision>
  <cp:lastPrinted>2023-06-28T12:03:00Z</cp:lastPrinted>
  <dcterms:created xsi:type="dcterms:W3CDTF">2024-03-26T05:14:00Z</dcterms:created>
  <dcterms:modified xsi:type="dcterms:W3CDTF">2024-03-26T05:34:00Z</dcterms:modified>
</cp:coreProperties>
</file>