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Pr="005A75DC" w:rsidRDefault="005A75DC" w:rsidP="005A75D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A75DC">
        <w:rPr>
          <w:rFonts w:eastAsiaTheme="minorHAnsi"/>
          <w:b/>
          <w:bCs/>
          <w:color w:val="000000"/>
          <w:lang w:eastAsia="en-US"/>
        </w:rPr>
        <w:t>Жилищные условия за счет материнского капитала улучшили 11 тысяч семей Санкт-Петербурга и Ленинградской области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начала года больше 11 тыс. семей Санкт-Петербурга и Ленинградской области направили средства </w:t>
      </w:r>
      <w:hyperlink r:id="rId4" w:history="1">
        <w:r>
          <w:rPr>
            <w:rStyle w:val="a3"/>
            <w:rFonts w:ascii="Tms Rmn" w:eastAsiaTheme="minorHAnsi" w:hAnsi="Tms Rmn" w:cs="Tms Rmn"/>
            <w:lang w:eastAsia="en-US"/>
          </w:rPr>
          <w:t>материнского капитала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на улучшение жилищных условий. Как и прежде, это направление программы стало самым востребованным. Всего по нему было подано больше половины заявлений о распоряжении средствами, или 55% от общего количества обращений, поступивших с января.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Частично или полностью погасили материнским капиталом кредит либо первый взнос на приобретение или строительство жилья порядка 10 тыс. семей. Еще более 1 тыс. семей улучшили жилищные условия без привлечения кредитных средств.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Напомним, что с 2020 года родители могут распорядиться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маткапиталом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на улучшение жилищных условий непосредственно через кредитные организации. В банке одновременно с оформлением кредита на покупку или строительство жилья подается заявление об оплате материнским капиталом первого взноса, процентов или основного долга по кредиту. То есть вместо двух обращений – в банк и Пенсионный фонд – семье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Направить средства на улучшение жилищных условий можно, когда ребёнку, давшему право на материнский капитал, исполнится три года.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капиталом можно сразу после рождения или усыновления ребёнка.</w:t>
      </w:r>
    </w:p>
    <w:p w:rsidR="005A75DC" w:rsidRDefault="005A75DC" w:rsidP="005A75D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5A75DC" w:rsidRPr="005A75DC" w:rsidRDefault="005A75DC" w:rsidP="005A75DC">
      <w:pPr>
        <w:jc w:val="right"/>
        <w:rPr>
          <w:rFonts w:eastAsiaTheme="minorHAnsi"/>
          <w:sz w:val="22"/>
          <w:szCs w:val="22"/>
        </w:rPr>
      </w:pPr>
      <w:r w:rsidRPr="005A75DC">
        <w:rPr>
          <w:rFonts w:eastAsiaTheme="minorHAnsi"/>
          <w:color w:val="000000"/>
          <w:sz w:val="22"/>
          <w:szCs w:val="22"/>
          <w:lang w:eastAsia="en-US"/>
        </w:rPr>
        <w:t>ОПФР по Санкт-Петербургу и Ленинградской области</w:t>
      </w:r>
    </w:p>
    <w:p w:rsidR="00F26FA7" w:rsidRDefault="00F26FA7"/>
    <w:sectPr w:rsidR="00F26FA7" w:rsidSect="00F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5DC"/>
    <w:rsid w:val="005A75DC"/>
    <w:rsid w:val="00F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2022-04-29T05:01:00Z</dcterms:created>
  <dcterms:modified xsi:type="dcterms:W3CDTF">2022-04-29T05:03:00Z</dcterms:modified>
</cp:coreProperties>
</file>