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1" w:rsidRPr="00EB118F" w:rsidRDefault="007A7671" w:rsidP="007A767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71" w:rsidRDefault="007A7671" w:rsidP="007A7671">
      <w:pPr>
        <w:spacing w:after="0"/>
        <w:ind w:left="284"/>
        <w:jc w:val="center"/>
        <w:rPr>
          <w:rFonts w:ascii="Arial Narrow" w:hAnsi="Arial Narrow"/>
        </w:rPr>
      </w:pPr>
    </w:p>
    <w:p w:rsidR="007A7671" w:rsidRPr="00323917" w:rsidRDefault="007A7671" w:rsidP="007A767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7A7671" w:rsidRPr="00323917" w:rsidRDefault="007A7671" w:rsidP="007A767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7A7671" w:rsidRPr="00323917" w:rsidRDefault="007A7671" w:rsidP="007A767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7A7671" w:rsidRPr="00EB118F" w:rsidRDefault="007A7671" w:rsidP="007A767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7A7671" w:rsidRPr="00261BB1" w:rsidRDefault="007A7671" w:rsidP="007A7671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A7671" w:rsidRDefault="007A7671" w:rsidP="007A7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671" w:rsidRDefault="007A7671" w:rsidP="007A76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2FD9">
        <w:rPr>
          <w:rFonts w:ascii="Times New Roman" w:hAnsi="Times New Roman" w:cs="Times New Roman"/>
          <w:sz w:val="28"/>
          <w:szCs w:val="28"/>
        </w:rPr>
        <w:t>25 декабря 2018 года</w:t>
      </w:r>
      <w:r w:rsidR="00B02FD9">
        <w:rPr>
          <w:rFonts w:ascii="Times New Roman" w:hAnsi="Times New Roman" w:cs="Times New Roman"/>
          <w:sz w:val="28"/>
          <w:szCs w:val="28"/>
        </w:rPr>
        <w:tab/>
      </w:r>
      <w:r w:rsidR="00B02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D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2FD9" w:rsidRPr="00B02FD9">
        <w:rPr>
          <w:rFonts w:ascii="Times New Roman" w:hAnsi="Times New Roman" w:cs="Times New Roman"/>
          <w:b/>
          <w:sz w:val="28"/>
          <w:szCs w:val="28"/>
        </w:rPr>
        <w:t>602</w:t>
      </w:r>
    </w:p>
    <w:p w:rsidR="003243C6" w:rsidRPr="00B02FD9" w:rsidRDefault="003243C6" w:rsidP="007A76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62" w:rsidRPr="00A70E6B" w:rsidRDefault="00EA6E62" w:rsidP="00A70E6B">
      <w:pPr>
        <w:pStyle w:val="ConsPlusTitle"/>
        <w:rPr>
          <w:color w:val="92CDDC" w:themeColor="accent5" w:themeTint="99"/>
          <w:sz w:val="20"/>
        </w:rPr>
      </w:pPr>
    </w:p>
    <w:p w:rsidR="00EA6E62" w:rsidRPr="007A7671" w:rsidRDefault="006D4AF8" w:rsidP="003243C6">
      <w:pPr>
        <w:pStyle w:val="ConsPlusTitle"/>
        <w:tabs>
          <w:tab w:val="left" w:pos="4253"/>
        </w:tabs>
        <w:ind w:right="1842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7A7671">
        <w:rPr>
          <w:rFonts w:ascii="Times New Roman" w:hAnsi="Times New Roman" w:cs="Times New Roman"/>
          <w:b w:val="0"/>
          <w:szCs w:val="22"/>
        </w:rPr>
        <w:t xml:space="preserve">Об </w:t>
      </w:r>
      <w:r w:rsidR="00D95FFF" w:rsidRPr="007A7671">
        <w:rPr>
          <w:rFonts w:ascii="Times New Roman" w:hAnsi="Times New Roman" w:cs="Times New Roman"/>
          <w:b w:val="0"/>
          <w:szCs w:val="22"/>
        </w:rPr>
        <w:t xml:space="preserve">утверждении </w:t>
      </w:r>
      <w:hyperlink w:anchor="P41" w:history="1">
        <w:r w:rsidR="00D95FFF" w:rsidRPr="007A7671">
          <w:rPr>
            <w:rFonts w:ascii="Times New Roman" w:hAnsi="Times New Roman" w:cs="Times New Roman"/>
            <w:b w:val="0"/>
            <w:szCs w:val="22"/>
          </w:rPr>
          <w:t>Правил</w:t>
        </w:r>
      </w:hyperlink>
      <w:r w:rsidR="00D95FFF" w:rsidRPr="007A7671">
        <w:rPr>
          <w:rFonts w:ascii="Times New Roman" w:hAnsi="Times New Roman" w:cs="Times New Roman"/>
          <w:b w:val="0"/>
          <w:szCs w:val="22"/>
        </w:rPr>
        <w:t xml:space="preserve"> определения требований к закупаемым </w:t>
      </w:r>
      <w:r w:rsidR="007A7671">
        <w:rPr>
          <w:rFonts w:ascii="Times New Roman" w:hAnsi="Times New Roman" w:cs="Times New Roman"/>
          <w:b w:val="0"/>
          <w:szCs w:val="22"/>
        </w:rPr>
        <w:t>администрацией Мшинского сельского поселения</w:t>
      </w:r>
      <w:r w:rsidR="00D95FFF" w:rsidRPr="007A7671">
        <w:rPr>
          <w:rFonts w:ascii="Times New Roman" w:hAnsi="Times New Roman" w:cs="Times New Roman"/>
          <w:b w:val="0"/>
          <w:szCs w:val="22"/>
        </w:rPr>
        <w:t xml:space="preserve"> Лужского муниципального района Ленинградской области и </w:t>
      </w:r>
      <w:r w:rsidR="007A7671">
        <w:rPr>
          <w:rFonts w:ascii="Times New Roman" w:hAnsi="Times New Roman" w:cs="Times New Roman"/>
          <w:b w:val="0"/>
          <w:szCs w:val="22"/>
        </w:rPr>
        <w:t>подведомственным</w:t>
      </w:r>
      <w:r w:rsidR="00D95FFF" w:rsidRPr="007A7671">
        <w:rPr>
          <w:rFonts w:ascii="Times New Roman" w:hAnsi="Times New Roman" w:cs="Times New Roman"/>
          <w:b w:val="0"/>
          <w:szCs w:val="22"/>
        </w:rPr>
        <w:t xml:space="preserve"> казенным </w:t>
      </w:r>
      <w:r w:rsidR="003C1CD2" w:rsidRPr="007A7671">
        <w:rPr>
          <w:rFonts w:ascii="Times New Roman" w:hAnsi="Times New Roman" w:cs="Times New Roman"/>
          <w:b w:val="0"/>
          <w:szCs w:val="22"/>
        </w:rPr>
        <w:t xml:space="preserve">и муниципальным унитарным предприятиям </w:t>
      </w:r>
      <w:r w:rsidR="00D95FFF" w:rsidRPr="007A7671">
        <w:rPr>
          <w:rFonts w:ascii="Times New Roman" w:hAnsi="Times New Roman" w:cs="Times New Roman"/>
          <w:b w:val="0"/>
          <w:szCs w:val="22"/>
        </w:rPr>
        <w:t>отдельным видам товаров, работ, услуг (в том числе предельные цены товаров, работ, услуг)</w:t>
      </w:r>
      <w:proofErr w:type="gramEnd"/>
    </w:p>
    <w:p w:rsidR="006D4AF8" w:rsidRPr="00475BF4" w:rsidRDefault="006D4AF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EA6E62" w:rsidRPr="007A7671" w:rsidRDefault="00EA6E6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A7671">
        <w:rPr>
          <w:rFonts w:ascii="Times New Roman" w:hAnsi="Times New Roman" w:cs="Times New Roman"/>
          <w:szCs w:val="22"/>
        </w:rPr>
        <w:t xml:space="preserve">В соответствии со </w:t>
      </w:r>
      <w:hyperlink r:id="rId6" w:history="1">
        <w:r w:rsidRPr="007A7671">
          <w:rPr>
            <w:rFonts w:ascii="Times New Roman" w:hAnsi="Times New Roman" w:cs="Times New Roman"/>
            <w:color w:val="0000FF"/>
            <w:szCs w:val="22"/>
          </w:rPr>
          <w:t>статьей 19</w:t>
        </w:r>
      </w:hyperlink>
      <w:r w:rsidRPr="007A7671">
        <w:rPr>
          <w:rFonts w:ascii="Times New Roman" w:hAnsi="Times New Roman" w:cs="Times New Roman"/>
          <w:szCs w:val="22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B27E2" w:rsidRPr="007A7671">
        <w:rPr>
          <w:rFonts w:ascii="Times New Roman" w:hAnsi="Times New Roman" w:cs="Times New Roman"/>
          <w:szCs w:val="22"/>
        </w:rPr>
        <w:t>, постановлением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FB27E2" w:rsidRPr="007A7671">
        <w:rPr>
          <w:rFonts w:ascii="Times New Roman" w:hAnsi="Times New Roman" w:cs="Times New Roman"/>
          <w:szCs w:val="22"/>
        </w:rPr>
        <w:t>)»</w:t>
      </w:r>
      <w:r w:rsidR="00475BF4" w:rsidRPr="007A7671">
        <w:rPr>
          <w:rFonts w:ascii="Times New Roman" w:hAnsi="Times New Roman" w:cs="Times New Roman"/>
          <w:szCs w:val="22"/>
        </w:rPr>
        <w:t>, протоколом заседания объединенного общественного совета Лужского городского поселения от 22.12.2017,</w:t>
      </w:r>
      <w:r w:rsidRPr="007A7671">
        <w:rPr>
          <w:rFonts w:ascii="Times New Roman" w:hAnsi="Times New Roman" w:cs="Times New Roman"/>
          <w:szCs w:val="22"/>
        </w:rPr>
        <w:t xml:space="preserve"> </w:t>
      </w:r>
      <w:r w:rsidR="00A70E6B" w:rsidRPr="007A7671">
        <w:rPr>
          <w:rFonts w:ascii="Times New Roman" w:hAnsi="Times New Roman" w:cs="Times New Roman"/>
          <w:szCs w:val="22"/>
        </w:rPr>
        <w:t xml:space="preserve">администрация </w:t>
      </w:r>
      <w:r w:rsidR="007A7671">
        <w:rPr>
          <w:rFonts w:ascii="Times New Roman" w:hAnsi="Times New Roman" w:cs="Times New Roman"/>
          <w:szCs w:val="22"/>
        </w:rPr>
        <w:t xml:space="preserve">Мшинского сельского поселения </w:t>
      </w:r>
      <w:r w:rsidR="00A70E6B" w:rsidRPr="007A7671">
        <w:rPr>
          <w:rFonts w:ascii="Times New Roman" w:hAnsi="Times New Roman" w:cs="Times New Roman"/>
          <w:szCs w:val="22"/>
        </w:rPr>
        <w:t>Лужского муниципального района Ленинградской области</w:t>
      </w:r>
      <w:r w:rsidRPr="007A7671">
        <w:rPr>
          <w:rFonts w:ascii="Times New Roman" w:hAnsi="Times New Roman" w:cs="Times New Roman"/>
          <w:szCs w:val="22"/>
        </w:rPr>
        <w:t xml:space="preserve"> постановляет:</w:t>
      </w:r>
    </w:p>
    <w:p w:rsidR="00EA6E62" w:rsidRPr="007A7671" w:rsidRDefault="00EA6E62" w:rsidP="005A5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7671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41" w:history="1">
        <w:r w:rsidRPr="007A7671">
          <w:rPr>
            <w:rFonts w:ascii="Times New Roman" w:hAnsi="Times New Roman" w:cs="Times New Roman"/>
            <w:szCs w:val="22"/>
          </w:rPr>
          <w:t>Правила</w:t>
        </w:r>
      </w:hyperlink>
      <w:r w:rsidRPr="007A7671">
        <w:rPr>
          <w:rFonts w:ascii="Times New Roman" w:hAnsi="Times New Roman" w:cs="Times New Roman"/>
          <w:szCs w:val="22"/>
        </w:rPr>
        <w:t xml:space="preserve"> </w:t>
      </w:r>
      <w:r w:rsidR="003C1CD2" w:rsidRPr="007A7671">
        <w:rPr>
          <w:rFonts w:ascii="Times New Roman" w:hAnsi="Times New Roman" w:cs="Times New Roman"/>
          <w:szCs w:val="22"/>
        </w:rPr>
        <w:t xml:space="preserve">определения требований к закупаемым </w:t>
      </w:r>
      <w:r w:rsidR="007A7671">
        <w:rPr>
          <w:rFonts w:ascii="Times New Roman" w:hAnsi="Times New Roman" w:cs="Times New Roman"/>
          <w:szCs w:val="22"/>
        </w:rPr>
        <w:t>администрацией Мшинского сельского поселения</w:t>
      </w:r>
      <w:r w:rsidR="003C1CD2" w:rsidRPr="007A7671">
        <w:rPr>
          <w:rFonts w:ascii="Times New Roman" w:hAnsi="Times New Roman" w:cs="Times New Roman"/>
          <w:szCs w:val="22"/>
        </w:rPr>
        <w:t xml:space="preserve"> Лужского муниципального района Ленинградской области и подведомственным</w:t>
      </w:r>
      <w:r w:rsidR="007A7671">
        <w:rPr>
          <w:rFonts w:ascii="Times New Roman" w:hAnsi="Times New Roman" w:cs="Times New Roman"/>
          <w:szCs w:val="22"/>
        </w:rPr>
        <w:t xml:space="preserve"> </w:t>
      </w:r>
      <w:r w:rsidR="003C1CD2" w:rsidRPr="007A7671">
        <w:rPr>
          <w:rFonts w:ascii="Times New Roman" w:hAnsi="Times New Roman" w:cs="Times New Roman"/>
          <w:szCs w:val="22"/>
        </w:rPr>
        <w:t xml:space="preserve"> казенными </w:t>
      </w:r>
      <w:r w:rsidR="007A7671">
        <w:rPr>
          <w:rFonts w:ascii="Times New Roman" w:hAnsi="Times New Roman" w:cs="Times New Roman"/>
          <w:szCs w:val="22"/>
        </w:rPr>
        <w:t xml:space="preserve"> </w:t>
      </w:r>
      <w:r w:rsidR="003C1CD2" w:rsidRPr="007A7671">
        <w:rPr>
          <w:rFonts w:ascii="Times New Roman" w:hAnsi="Times New Roman" w:cs="Times New Roman"/>
          <w:szCs w:val="22"/>
        </w:rPr>
        <w:t xml:space="preserve"> и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7A7671">
        <w:rPr>
          <w:rFonts w:ascii="Times New Roman" w:hAnsi="Times New Roman" w:cs="Times New Roman"/>
          <w:szCs w:val="22"/>
        </w:rPr>
        <w:t>.</w:t>
      </w:r>
    </w:p>
    <w:p w:rsidR="00EA6E62" w:rsidRPr="007A7671" w:rsidRDefault="00A70E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7671">
        <w:rPr>
          <w:rFonts w:ascii="Times New Roman" w:hAnsi="Times New Roman" w:cs="Times New Roman"/>
          <w:szCs w:val="22"/>
        </w:rPr>
        <w:t>2</w:t>
      </w:r>
      <w:r w:rsidR="00EA6E62" w:rsidRPr="007A7671">
        <w:rPr>
          <w:rFonts w:ascii="Times New Roman" w:hAnsi="Times New Roman" w:cs="Times New Roman"/>
          <w:szCs w:val="22"/>
        </w:rPr>
        <w:t xml:space="preserve">. </w:t>
      </w:r>
      <w:r w:rsidR="007A7671">
        <w:rPr>
          <w:rFonts w:ascii="Times New Roman" w:hAnsi="Times New Roman" w:cs="Times New Roman"/>
          <w:szCs w:val="22"/>
        </w:rPr>
        <w:t>Р</w:t>
      </w:r>
      <w:r w:rsidR="00EA6E62" w:rsidRPr="007A7671">
        <w:rPr>
          <w:rFonts w:ascii="Times New Roman" w:hAnsi="Times New Roman" w:cs="Times New Roman"/>
          <w:szCs w:val="22"/>
        </w:rPr>
        <w:t xml:space="preserve">азработать в соответствии с </w:t>
      </w:r>
      <w:hyperlink w:anchor="P41" w:history="1">
        <w:r w:rsidR="00EA6E62" w:rsidRPr="007A7671">
          <w:rPr>
            <w:rFonts w:ascii="Times New Roman" w:hAnsi="Times New Roman" w:cs="Times New Roman"/>
            <w:szCs w:val="22"/>
          </w:rPr>
          <w:t>Правилами</w:t>
        </w:r>
      </w:hyperlink>
      <w:r w:rsidR="00EA6E62" w:rsidRPr="007A7671">
        <w:rPr>
          <w:rFonts w:ascii="Times New Roman" w:hAnsi="Times New Roman" w:cs="Times New Roman"/>
          <w:szCs w:val="22"/>
        </w:rPr>
        <w:t xml:space="preserve">, утвержденными настоящим постановлением, и утвердить </w:t>
      </w:r>
      <w:r w:rsidR="00D95FFF" w:rsidRPr="007A7671">
        <w:rPr>
          <w:rFonts w:ascii="Times New Roman" w:hAnsi="Times New Roman" w:cs="Times New Roman"/>
          <w:szCs w:val="22"/>
        </w:rPr>
        <w:t xml:space="preserve">требования </w:t>
      </w:r>
      <w:r w:rsidR="009015EC" w:rsidRPr="007A7671">
        <w:rPr>
          <w:rFonts w:ascii="Times New Roman" w:hAnsi="Times New Roman" w:cs="Times New Roman"/>
          <w:szCs w:val="22"/>
        </w:rPr>
        <w:t>к закупаемым</w:t>
      </w:r>
      <w:r w:rsidR="007A7671">
        <w:rPr>
          <w:rFonts w:ascii="Times New Roman" w:hAnsi="Times New Roman" w:cs="Times New Roman"/>
          <w:szCs w:val="22"/>
        </w:rPr>
        <w:t xml:space="preserve"> администрацией Мшинского сельского поселения и </w:t>
      </w:r>
      <w:r w:rsidR="009015EC" w:rsidRPr="007A7671">
        <w:rPr>
          <w:rFonts w:ascii="Times New Roman" w:hAnsi="Times New Roman" w:cs="Times New Roman"/>
          <w:szCs w:val="22"/>
        </w:rPr>
        <w:t xml:space="preserve"> подведомственным</w:t>
      </w:r>
      <w:r w:rsidR="007A7671">
        <w:rPr>
          <w:rFonts w:ascii="Times New Roman" w:hAnsi="Times New Roman" w:cs="Times New Roman"/>
          <w:szCs w:val="22"/>
        </w:rPr>
        <w:t xml:space="preserve"> </w:t>
      </w:r>
      <w:r w:rsidR="009015EC" w:rsidRPr="007A7671">
        <w:rPr>
          <w:rFonts w:ascii="Times New Roman" w:hAnsi="Times New Roman" w:cs="Times New Roman"/>
          <w:szCs w:val="22"/>
        </w:rPr>
        <w:t xml:space="preserve"> </w:t>
      </w:r>
      <w:r w:rsidR="007A7671">
        <w:rPr>
          <w:rFonts w:ascii="Times New Roman" w:hAnsi="Times New Roman" w:cs="Times New Roman"/>
          <w:szCs w:val="22"/>
        </w:rPr>
        <w:t xml:space="preserve"> </w:t>
      </w:r>
      <w:r w:rsidR="009015EC" w:rsidRPr="007A7671">
        <w:rPr>
          <w:rFonts w:ascii="Times New Roman" w:hAnsi="Times New Roman" w:cs="Times New Roman"/>
          <w:szCs w:val="22"/>
        </w:rPr>
        <w:t xml:space="preserve"> казенным</w:t>
      </w:r>
      <w:r w:rsidR="007A7671">
        <w:rPr>
          <w:rFonts w:ascii="Times New Roman" w:hAnsi="Times New Roman" w:cs="Times New Roman"/>
          <w:szCs w:val="22"/>
        </w:rPr>
        <w:t xml:space="preserve"> </w:t>
      </w:r>
      <w:r w:rsidR="009015EC" w:rsidRPr="007A7671">
        <w:rPr>
          <w:rFonts w:ascii="Times New Roman" w:hAnsi="Times New Roman" w:cs="Times New Roman"/>
          <w:szCs w:val="22"/>
        </w:rPr>
        <w:t xml:space="preserve"> учреждениям</w:t>
      </w:r>
      <w:r w:rsidR="007A7671">
        <w:rPr>
          <w:rFonts w:ascii="Times New Roman" w:hAnsi="Times New Roman" w:cs="Times New Roman"/>
          <w:szCs w:val="22"/>
        </w:rPr>
        <w:t xml:space="preserve">  </w:t>
      </w:r>
      <w:r w:rsidR="009015EC" w:rsidRPr="007A7671">
        <w:rPr>
          <w:rFonts w:ascii="Times New Roman" w:hAnsi="Times New Roman" w:cs="Times New Roman"/>
          <w:szCs w:val="22"/>
        </w:rPr>
        <w:t xml:space="preserve"> и унитарным</w:t>
      </w:r>
      <w:r w:rsidR="007A7671">
        <w:rPr>
          <w:rFonts w:ascii="Times New Roman" w:hAnsi="Times New Roman" w:cs="Times New Roman"/>
          <w:szCs w:val="22"/>
        </w:rPr>
        <w:t xml:space="preserve"> </w:t>
      </w:r>
      <w:r w:rsidR="009015EC" w:rsidRPr="007A7671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9015EC" w:rsidRPr="007A7671">
        <w:rPr>
          <w:rFonts w:ascii="Times New Roman" w:hAnsi="Times New Roman" w:cs="Times New Roman"/>
          <w:szCs w:val="22"/>
        </w:rPr>
        <w:t>предприятиям</w:t>
      </w:r>
      <w:proofErr w:type="gramEnd"/>
      <w:r w:rsidR="007A7671">
        <w:rPr>
          <w:rFonts w:ascii="Times New Roman" w:hAnsi="Times New Roman" w:cs="Times New Roman"/>
          <w:szCs w:val="22"/>
        </w:rPr>
        <w:t xml:space="preserve"> </w:t>
      </w:r>
      <w:r w:rsidR="009015EC" w:rsidRPr="007A7671">
        <w:rPr>
          <w:rFonts w:ascii="Times New Roman" w:hAnsi="Times New Roman" w:cs="Times New Roman"/>
          <w:szCs w:val="22"/>
        </w:rPr>
        <w:t xml:space="preserve"> отдельным видам товаров, работ, услуг (в том числе предельные цены товаров, работ, услуг)</w:t>
      </w:r>
      <w:r w:rsidR="00EA6E62" w:rsidRPr="007A7671">
        <w:rPr>
          <w:rFonts w:ascii="Times New Roman" w:hAnsi="Times New Roman" w:cs="Times New Roman"/>
          <w:szCs w:val="22"/>
        </w:rPr>
        <w:t>.</w:t>
      </w:r>
    </w:p>
    <w:p w:rsidR="00A70E6B" w:rsidRPr="007A7671" w:rsidRDefault="00A70E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7671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7A767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A7671">
        <w:rPr>
          <w:rFonts w:ascii="Times New Roman" w:hAnsi="Times New Roman" w:cs="Times New Roman"/>
          <w:szCs w:val="22"/>
        </w:rPr>
        <w:t xml:space="preserve"> исполнением постановления оставляю за собой.</w:t>
      </w:r>
    </w:p>
    <w:p w:rsidR="00475BF4" w:rsidRPr="007A7671" w:rsidRDefault="00475B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7671">
        <w:rPr>
          <w:rFonts w:ascii="Times New Roman" w:hAnsi="Times New Roman" w:cs="Times New Roman"/>
          <w:szCs w:val="22"/>
        </w:rPr>
        <w:t>4. Настоящее постановление подлежит официальному опубликованию.</w:t>
      </w:r>
    </w:p>
    <w:p w:rsidR="00EA6E62" w:rsidRDefault="00475B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7671">
        <w:rPr>
          <w:rFonts w:ascii="Times New Roman" w:hAnsi="Times New Roman" w:cs="Times New Roman"/>
          <w:szCs w:val="22"/>
        </w:rPr>
        <w:t>5</w:t>
      </w:r>
      <w:r w:rsidR="00EA6E62" w:rsidRPr="007A7671">
        <w:rPr>
          <w:rFonts w:ascii="Times New Roman" w:hAnsi="Times New Roman" w:cs="Times New Roman"/>
          <w:szCs w:val="22"/>
        </w:rPr>
        <w:t>. Настоящее постановление вступает в силу с</w:t>
      </w:r>
      <w:r w:rsidR="00A70E6B" w:rsidRPr="007A7671">
        <w:rPr>
          <w:rFonts w:ascii="Times New Roman" w:hAnsi="Times New Roman" w:cs="Times New Roman"/>
          <w:szCs w:val="22"/>
        </w:rPr>
        <w:t>о</w:t>
      </w:r>
      <w:r w:rsidR="00EA6E62" w:rsidRPr="007A7671">
        <w:rPr>
          <w:rFonts w:ascii="Times New Roman" w:hAnsi="Times New Roman" w:cs="Times New Roman"/>
          <w:szCs w:val="22"/>
        </w:rPr>
        <w:t xml:space="preserve"> </w:t>
      </w:r>
      <w:r w:rsidR="00A70E6B" w:rsidRPr="007A7671">
        <w:rPr>
          <w:rFonts w:ascii="Times New Roman" w:hAnsi="Times New Roman" w:cs="Times New Roman"/>
          <w:szCs w:val="22"/>
        </w:rPr>
        <w:t>дня подписания</w:t>
      </w:r>
      <w:r w:rsidR="00EA6E62" w:rsidRPr="007A7671">
        <w:rPr>
          <w:rFonts w:ascii="Times New Roman" w:hAnsi="Times New Roman" w:cs="Times New Roman"/>
          <w:szCs w:val="22"/>
        </w:rPr>
        <w:t>.</w:t>
      </w:r>
    </w:p>
    <w:p w:rsidR="003243C6" w:rsidRDefault="003243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43C6" w:rsidRPr="007A7671" w:rsidRDefault="003243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A6E62" w:rsidRPr="007A7671" w:rsidRDefault="00EA6E62">
      <w:pPr>
        <w:pStyle w:val="ConsPlusNormal"/>
        <w:rPr>
          <w:rFonts w:ascii="Times New Roman" w:hAnsi="Times New Roman" w:cs="Times New Roman"/>
          <w:szCs w:val="22"/>
        </w:rPr>
      </w:pPr>
    </w:p>
    <w:p w:rsidR="00D95FFF" w:rsidRPr="007A7671" w:rsidRDefault="007A7671" w:rsidP="00D95FFF">
      <w:pPr>
        <w:pStyle w:val="Style2"/>
        <w:widowControl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Глава</w:t>
      </w:r>
      <w:r w:rsidR="00D95FFF" w:rsidRPr="007A7671">
        <w:rPr>
          <w:rStyle w:val="FontStyle12"/>
          <w:sz w:val="22"/>
          <w:szCs w:val="22"/>
        </w:rPr>
        <w:t xml:space="preserve"> администрации</w:t>
      </w:r>
      <w:r w:rsidR="00D95FFF" w:rsidRPr="007A7671">
        <w:rPr>
          <w:rStyle w:val="FontStyle12"/>
          <w:sz w:val="22"/>
          <w:szCs w:val="22"/>
        </w:rPr>
        <w:tab/>
      </w:r>
      <w:r w:rsidR="00D95FFF" w:rsidRPr="007A7671">
        <w:rPr>
          <w:rStyle w:val="FontStyle12"/>
          <w:sz w:val="22"/>
          <w:szCs w:val="22"/>
        </w:rPr>
        <w:tab/>
      </w:r>
      <w:r w:rsidR="00D95FFF" w:rsidRPr="007A7671">
        <w:rPr>
          <w:rStyle w:val="FontStyle12"/>
          <w:sz w:val="22"/>
          <w:szCs w:val="22"/>
        </w:rPr>
        <w:tab/>
      </w:r>
      <w:r w:rsidR="00D95FFF" w:rsidRPr="007A7671">
        <w:rPr>
          <w:rStyle w:val="FontStyle12"/>
          <w:sz w:val="22"/>
          <w:szCs w:val="22"/>
        </w:rPr>
        <w:tab/>
      </w:r>
      <w:r w:rsidR="00D95FFF" w:rsidRPr="007A7671">
        <w:rPr>
          <w:rStyle w:val="FontStyle12"/>
          <w:sz w:val="22"/>
          <w:szCs w:val="22"/>
        </w:rPr>
        <w:tab/>
      </w:r>
      <w:r w:rsidR="00D95FFF" w:rsidRPr="007A7671">
        <w:rPr>
          <w:rStyle w:val="FontStyle12"/>
          <w:sz w:val="22"/>
          <w:szCs w:val="22"/>
        </w:rPr>
        <w:tab/>
        <w:t xml:space="preserve">        </w:t>
      </w:r>
      <w:r>
        <w:rPr>
          <w:rStyle w:val="FontStyle12"/>
          <w:sz w:val="22"/>
          <w:szCs w:val="22"/>
        </w:rPr>
        <w:t>Ю.В.Кандыба</w:t>
      </w:r>
    </w:p>
    <w:p w:rsidR="00D95FFF" w:rsidRPr="007A7671" w:rsidRDefault="00D95FFF" w:rsidP="00D95FFF">
      <w:pPr>
        <w:pStyle w:val="Style2"/>
        <w:widowControl/>
        <w:rPr>
          <w:rStyle w:val="FontStyle12"/>
          <w:sz w:val="22"/>
          <w:szCs w:val="22"/>
        </w:rPr>
      </w:pPr>
    </w:p>
    <w:p w:rsidR="007A7671" w:rsidRDefault="007A7671" w:rsidP="00A03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671" w:rsidRDefault="007A7671" w:rsidP="00A03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C5A" w:rsidRPr="00B33164" w:rsidRDefault="00A03C5A" w:rsidP="00A03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64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A7671">
        <w:rPr>
          <w:rFonts w:ascii="Times New Roman" w:hAnsi="Times New Roman" w:cs="Times New Roman"/>
          <w:sz w:val="20"/>
          <w:szCs w:val="20"/>
        </w:rPr>
        <w:t>в дело</w:t>
      </w:r>
      <w:r w:rsidRPr="00B33164">
        <w:rPr>
          <w:rFonts w:ascii="Times New Roman" w:hAnsi="Times New Roman" w:cs="Times New Roman"/>
          <w:sz w:val="20"/>
          <w:szCs w:val="20"/>
        </w:rPr>
        <w:t>, прокуратура.</w:t>
      </w:r>
    </w:p>
    <w:p w:rsidR="00EA6E62" w:rsidRPr="00FB27E2" w:rsidRDefault="00D95FFF">
      <w:pPr>
        <w:pStyle w:val="ConsPlusNormal"/>
        <w:rPr>
          <w:rFonts w:ascii="Times New Roman" w:hAnsi="Times New Roman" w:cs="Times New Roman"/>
          <w:szCs w:val="22"/>
        </w:rPr>
      </w:pPr>
      <w:r w:rsidRPr="00FB27E2">
        <w:rPr>
          <w:rFonts w:ascii="Times New Roman" w:hAnsi="Times New Roman" w:cs="Times New Roman"/>
          <w:szCs w:val="22"/>
        </w:rPr>
        <w:br w:type="page"/>
      </w:r>
    </w:p>
    <w:p w:rsidR="00EA6E62" w:rsidRPr="007A7671" w:rsidRDefault="00D95FFF" w:rsidP="006D4AF8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7A767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proofErr w:type="gramStart"/>
      <w:r w:rsidRPr="007A7671">
        <w:rPr>
          <w:rFonts w:ascii="Times New Roman" w:hAnsi="Times New Roman" w:cs="Times New Roman"/>
          <w:sz w:val="20"/>
        </w:rPr>
        <w:t>к</w:t>
      </w:r>
      <w:proofErr w:type="gramEnd"/>
    </w:p>
    <w:p w:rsidR="00EA6E62" w:rsidRPr="007A7671" w:rsidRDefault="00EA6E62" w:rsidP="006D4AF8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7A7671">
        <w:rPr>
          <w:rFonts w:ascii="Times New Roman" w:hAnsi="Times New Roman" w:cs="Times New Roman"/>
          <w:sz w:val="20"/>
        </w:rPr>
        <w:t>постановлени</w:t>
      </w:r>
      <w:r w:rsidR="00D95FFF" w:rsidRPr="007A7671">
        <w:rPr>
          <w:rFonts w:ascii="Times New Roman" w:hAnsi="Times New Roman" w:cs="Times New Roman"/>
          <w:sz w:val="20"/>
        </w:rPr>
        <w:t>ю</w:t>
      </w:r>
      <w:r w:rsidRPr="007A7671">
        <w:rPr>
          <w:rFonts w:ascii="Times New Roman" w:hAnsi="Times New Roman" w:cs="Times New Roman"/>
          <w:sz w:val="20"/>
        </w:rPr>
        <w:t xml:space="preserve"> </w:t>
      </w:r>
      <w:r w:rsidR="006D4AF8" w:rsidRPr="007A7671">
        <w:rPr>
          <w:rFonts w:ascii="Times New Roman" w:hAnsi="Times New Roman" w:cs="Times New Roman"/>
          <w:sz w:val="20"/>
        </w:rPr>
        <w:t xml:space="preserve">администрации </w:t>
      </w:r>
    </w:p>
    <w:p w:rsidR="006D4AF8" w:rsidRPr="007A7671" w:rsidRDefault="007A7671" w:rsidP="006D4AF8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7A7671">
        <w:rPr>
          <w:rFonts w:ascii="Times New Roman" w:hAnsi="Times New Roman" w:cs="Times New Roman"/>
          <w:sz w:val="20"/>
        </w:rPr>
        <w:t xml:space="preserve">Мшинского сельского поселения </w:t>
      </w:r>
      <w:r w:rsidR="006D4AF8" w:rsidRPr="007A7671">
        <w:rPr>
          <w:rFonts w:ascii="Times New Roman" w:hAnsi="Times New Roman" w:cs="Times New Roman"/>
          <w:sz w:val="20"/>
        </w:rPr>
        <w:t>Лужского муниципального района</w:t>
      </w:r>
    </w:p>
    <w:p w:rsidR="00EA6E62" w:rsidRPr="008E638B" w:rsidRDefault="00D95FFF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7A7671">
        <w:rPr>
          <w:rFonts w:ascii="Times New Roman" w:hAnsi="Times New Roman" w:cs="Times New Roman"/>
          <w:sz w:val="20"/>
        </w:rPr>
        <w:t xml:space="preserve">от </w:t>
      </w:r>
      <w:r w:rsidR="003243C6">
        <w:rPr>
          <w:rFonts w:ascii="Times New Roman" w:hAnsi="Times New Roman" w:cs="Times New Roman"/>
          <w:sz w:val="20"/>
        </w:rPr>
        <w:t xml:space="preserve">25.12.2018 </w:t>
      </w:r>
      <w:r w:rsidRPr="007A7671">
        <w:rPr>
          <w:rFonts w:ascii="Times New Roman" w:hAnsi="Times New Roman" w:cs="Times New Roman"/>
          <w:sz w:val="20"/>
        </w:rPr>
        <w:t xml:space="preserve">№ </w:t>
      </w:r>
      <w:r w:rsidR="003243C6">
        <w:rPr>
          <w:rFonts w:ascii="Times New Roman" w:hAnsi="Times New Roman" w:cs="Times New Roman"/>
          <w:sz w:val="20"/>
        </w:rPr>
        <w:t>602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6E62" w:rsidRPr="00772672" w:rsidRDefault="00EA6E6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772672">
        <w:rPr>
          <w:rFonts w:ascii="Times New Roman" w:hAnsi="Times New Roman" w:cs="Times New Roman"/>
          <w:szCs w:val="22"/>
        </w:rPr>
        <w:t>ПРАВИЛА</w:t>
      </w:r>
    </w:p>
    <w:p w:rsidR="00FB27E2" w:rsidRPr="00772672" w:rsidRDefault="003C1CD2" w:rsidP="00FB27E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2672">
        <w:rPr>
          <w:rFonts w:ascii="Times New Roman" w:hAnsi="Times New Roman" w:cs="Times New Roman"/>
          <w:b/>
          <w:szCs w:val="22"/>
        </w:rPr>
        <w:t xml:space="preserve">определения требований к закупаемым </w:t>
      </w:r>
      <w:r w:rsidR="007A7671" w:rsidRPr="00772672">
        <w:rPr>
          <w:rFonts w:ascii="Times New Roman" w:hAnsi="Times New Roman" w:cs="Times New Roman"/>
          <w:b/>
          <w:szCs w:val="22"/>
        </w:rPr>
        <w:t>администрацией Мшинского сельского</w:t>
      </w:r>
      <w:r w:rsidRPr="00772672">
        <w:rPr>
          <w:rFonts w:ascii="Times New Roman" w:hAnsi="Times New Roman" w:cs="Times New Roman"/>
          <w:b/>
          <w:szCs w:val="22"/>
        </w:rPr>
        <w:t xml:space="preserve"> поселения и подведомственным казенным и муниципальным унитарным</w:t>
      </w:r>
      <w:r w:rsidR="007A7671" w:rsidRPr="00772672">
        <w:rPr>
          <w:rFonts w:ascii="Times New Roman" w:hAnsi="Times New Roman" w:cs="Times New Roman"/>
          <w:b/>
          <w:szCs w:val="22"/>
        </w:rPr>
        <w:t xml:space="preserve"> </w:t>
      </w:r>
      <w:r w:rsidRPr="00772672">
        <w:rPr>
          <w:rFonts w:ascii="Times New Roman" w:hAnsi="Times New Roman" w:cs="Times New Roman"/>
          <w:b/>
          <w:szCs w:val="22"/>
        </w:rPr>
        <w:t>предприятиям отдельным видам товаров, работ, услуг (в том числе предельные цены товаров, работ, услуг)</w:t>
      </w:r>
    </w:p>
    <w:p w:rsidR="003C1CD2" w:rsidRPr="00772672" w:rsidRDefault="003C1CD2" w:rsidP="00FB27E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A6E62" w:rsidRPr="003243C6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43C6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3243C6">
        <w:rPr>
          <w:rFonts w:ascii="Times New Roman" w:hAnsi="Times New Roman" w:cs="Times New Roman"/>
          <w:sz w:val="18"/>
          <w:szCs w:val="18"/>
        </w:rPr>
        <w:t xml:space="preserve">Правила </w:t>
      </w:r>
      <w:r w:rsidR="003C1CD2" w:rsidRPr="003243C6">
        <w:rPr>
          <w:rFonts w:ascii="Times New Roman" w:hAnsi="Times New Roman" w:cs="Times New Roman"/>
          <w:sz w:val="18"/>
          <w:szCs w:val="18"/>
        </w:rPr>
        <w:t xml:space="preserve">определения требований к закупаемым </w:t>
      </w:r>
      <w:r w:rsidR="007A7671" w:rsidRPr="003243C6">
        <w:rPr>
          <w:rFonts w:ascii="Times New Roman" w:hAnsi="Times New Roman" w:cs="Times New Roman"/>
          <w:sz w:val="18"/>
          <w:szCs w:val="18"/>
        </w:rPr>
        <w:t>администрацией Мшинского сельского</w:t>
      </w:r>
      <w:r w:rsidR="003C1CD2" w:rsidRPr="003243C6">
        <w:rPr>
          <w:rFonts w:ascii="Times New Roman" w:hAnsi="Times New Roman" w:cs="Times New Roman"/>
          <w:sz w:val="18"/>
          <w:szCs w:val="18"/>
        </w:rPr>
        <w:t xml:space="preserve"> поселения и подведомственным казенным и муниципальным унитарным предприятиям отдельным видам товаров, работ, услуг (в том числе предельные цены товаров, работ, услуг) (далее – Правила) </w:t>
      </w:r>
      <w:r w:rsidRPr="003243C6">
        <w:rPr>
          <w:rFonts w:ascii="Times New Roman" w:hAnsi="Times New Roman" w:cs="Times New Roman"/>
          <w:sz w:val="18"/>
          <w:szCs w:val="18"/>
        </w:rPr>
        <w:t xml:space="preserve">устанавливают порядок определения </w:t>
      </w:r>
      <w:r w:rsidR="00FB27E2" w:rsidRPr="003243C6">
        <w:rPr>
          <w:rFonts w:ascii="Times New Roman" w:hAnsi="Times New Roman" w:cs="Times New Roman"/>
          <w:sz w:val="18"/>
          <w:szCs w:val="18"/>
        </w:rPr>
        <w:t xml:space="preserve">требований к закупаемым </w:t>
      </w:r>
      <w:r w:rsidR="007A7671" w:rsidRPr="003243C6">
        <w:rPr>
          <w:rFonts w:ascii="Times New Roman" w:hAnsi="Times New Roman" w:cs="Times New Roman"/>
          <w:sz w:val="18"/>
          <w:szCs w:val="18"/>
        </w:rPr>
        <w:t xml:space="preserve">администрацией Мшинского сельского поселения </w:t>
      </w:r>
      <w:r w:rsidR="00FB27E2" w:rsidRPr="003243C6">
        <w:rPr>
          <w:rFonts w:ascii="Times New Roman" w:hAnsi="Times New Roman" w:cs="Times New Roman"/>
          <w:sz w:val="18"/>
          <w:szCs w:val="18"/>
        </w:rPr>
        <w:t>Лужского муниципального района Ленинградской области и подведомственным казенным</w:t>
      </w:r>
      <w:r w:rsidR="007A7671" w:rsidRPr="003243C6">
        <w:rPr>
          <w:rFonts w:ascii="Times New Roman" w:hAnsi="Times New Roman" w:cs="Times New Roman"/>
          <w:sz w:val="18"/>
          <w:szCs w:val="18"/>
        </w:rPr>
        <w:t xml:space="preserve"> </w:t>
      </w:r>
      <w:r w:rsidR="00FB27E2" w:rsidRPr="003243C6">
        <w:rPr>
          <w:rFonts w:ascii="Times New Roman" w:hAnsi="Times New Roman" w:cs="Times New Roman"/>
          <w:sz w:val="18"/>
          <w:szCs w:val="18"/>
        </w:rPr>
        <w:t>отдельным видам товаров, работ, услуг (в том числе предельные цены товаров</w:t>
      </w:r>
      <w:proofErr w:type="gramEnd"/>
      <w:r w:rsidR="00FB27E2" w:rsidRPr="003243C6">
        <w:rPr>
          <w:rFonts w:ascii="Times New Roman" w:hAnsi="Times New Roman" w:cs="Times New Roman"/>
          <w:sz w:val="18"/>
          <w:szCs w:val="18"/>
        </w:rPr>
        <w:t>, работ, услуг</w:t>
      </w:r>
      <w:r w:rsidRPr="003243C6">
        <w:rPr>
          <w:rFonts w:ascii="Times New Roman" w:hAnsi="Times New Roman" w:cs="Times New Roman"/>
          <w:sz w:val="18"/>
          <w:szCs w:val="18"/>
        </w:rPr>
        <w:t>).</w:t>
      </w:r>
    </w:p>
    <w:p w:rsidR="00EA6E62" w:rsidRPr="003243C6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43C6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="007A7671" w:rsidRPr="003243C6">
        <w:rPr>
          <w:rFonts w:ascii="Times New Roman" w:hAnsi="Times New Roman" w:cs="Times New Roman"/>
          <w:sz w:val="18"/>
          <w:szCs w:val="18"/>
        </w:rPr>
        <w:t xml:space="preserve">Администрация Мшинского сельского </w:t>
      </w:r>
      <w:r w:rsidR="00082D4D" w:rsidRPr="003243C6">
        <w:rPr>
          <w:rFonts w:ascii="Times New Roman" w:hAnsi="Times New Roman" w:cs="Times New Roman"/>
          <w:sz w:val="18"/>
          <w:szCs w:val="18"/>
        </w:rPr>
        <w:t xml:space="preserve"> поселения Лужского муниципального района</w:t>
      </w:r>
      <w:r w:rsidR="009A0CA8" w:rsidRPr="003243C6">
        <w:rPr>
          <w:rFonts w:ascii="Times New Roman" w:hAnsi="Times New Roman" w:cs="Times New Roman"/>
          <w:sz w:val="18"/>
          <w:szCs w:val="18"/>
        </w:rPr>
        <w:t xml:space="preserve"> (далее – муниципальные субъекты) </w:t>
      </w:r>
      <w:r w:rsidRPr="003243C6">
        <w:rPr>
          <w:rFonts w:ascii="Times New Roman" w:hAnsi="Times New Roman" w:cs="Times New Roman"/>
          <w:sz w:val="18"/>
          <w:szCs w:val="18"/>
        </w:rPr>
        <w:t>утвержда</w:t>
      </w:r>
      <w:r w:rsidR="007A7671" w:rsidRPr="003243C6">
        <w:rPr>
          <w:rFonts w:ascii="Times New Roman" w:hAnsi="Times New Roman" w:cs="Times New Roman"/>
          <w:sz w:val="18"/>
          <w:szCs w:val="18"/>
        </w:rPr>
        <w:t>е</w:t>
      </w:r>
      <w:r w:rsidRPr="003243C6">
        <w:rPr>
          <w:rFonts w:ascii="Times New Roman" w:hAnsi="Times New Roman" w:cs="Times New Roman"/>
          <w:sz w:val="18"/>
          <w:szCs w:val="18"/>
        </w:rPr>
        <w:t xml:space="preserve">т определенные в соответствии с настоящими Правилами требования к закупаемым </w:t>
      </w:r>
      <w:r w:rsidR="00772672" w:rsidRPr="003243C6">
        <w:rPr>
          <w:rFonts w:ascii="Times New Roman" w:hAnsi="Times New Roman" w:cs="Times New Roman"/>
          <w:sz w:val="18"/>
          <w:szCs w:val="18"/>
        </w:rPr>
        <w:t>ею</w:t>
      </w:r>
      <w:r w:rsidRPr="003243C6">
        <w:rPr>
          <w:rFonts w:ascii="Times New Roman" w:hAnsi="Times New Roman" w:cs="Times New Roman"/>
          <w:sz w:val="18"/>
          <w:szCs w:val="18"/>
        </w:rPr>
        <w:t xml:space="preserve"> и подведомственными </w:t>
      </w:r>
      <w:r w:rsidR="00772672" w:rsidRPr="003243C6">
        <w:rPr>
          <w:rFonts w:ascii="Times New Roman" w:hAnsi="Times New Roman" w:cs="Times New Roman"/>
          <w:sz w:val="18"/>
          <w:szCs w:val="18"/>
        </w:rPr>
        <w:t>ей</w:t>
      </w:r>
      <w:r w:rsidRPr="003243C6">
        <w:rPr>
          <w:rFonts w:ascii="Times New Roman" w:hAnsi="Times New Roman" w:cs="Times New Roman"/>
          <w:sz w:val="18"/>
          <w:szCs w:val="18"/>
        </w:rPr>
        <w:t xml:space="preserve"> казенными </w:t>
      </w:r>
      <w:r w:rsidR="00772672" w:rsidRPr="003243C6">
        <w:rPr>
          <w:rFonts w:ascii="Times New Roman" w:hAnsi="Times New Roman" w:cs="Times New Roman"/>
          <w:sz w:val="18"/>
          <w:szCs w:val="18"/>
        </w:rPr>
        <w:t xml:space="preserve"> </w:t>
      </w:r>
      <w:r w:rsidR="00082D4D" w:rsidRPr="003243C6">
        <w:rPr>
          <w:rFonts w:ascii="Times New Roman" w:hAnsi="Times New Roman" w:cs="Times New Roman"/>
          <w:sz w:val="18"/>
          <w:szCs w:val="18"/>
        </w:rPr>
        <w:t>и муниципальными унитарными предприятиями,</w:t>
      </w:r>
      <w:r w:rsidRPr="003243C6">
        <w:rPr>
          <w:rFonts w:ascii="Times New Roman" w:hAnsi="Times New Roman" w:cs="Times New Roman"/>
          <w:sz w:val="18"/>
          <w:szCs w:val="1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</w:t>
      </w:r>
      <w:proofErr w:type="gramEnd"/>
      <w:r w:rsidRPr="003243C6">
        <w:rPr>
          <w:rFonts w:ascii="Times New Roman" w:hAnsi="Times New Roman" w:cs="Times New Roman"/>
          <w:sz w:val="18"/>
          <w:szCs w:val="18"/>
        </w:rPr>
        <w:t xml:space="preserve"> - ведомственный перечень).</w:t>
      </w:r>
    </w:p>
    <w:p w:rsidR="00EA6E62" w:rsidRPr="003243C6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43C6">
        <w:rPr>
          <w:rFonts w:ascii="Times New Roman" w:hAnsi="Times New Roman" w:cs="Times New Roman"/>
          <w:sz w:val="18"/>
          <w:szCs w:val="18"/>
        </w:rPr>
        <w:t xml:space="preserve">Ведомственный </w:t>
      </w:r>
      <w:hyperlink w:anchor="P81" w:history="1">
        <w:r w:rsidRPr="003243C6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Pr="003243C6">
        <w:rPr>
          <w:rFonts w:ascii="Times New Roman" w:hAnsi="Times New Roman" w:cs="Times New Roman"/>
          <w:sz w:val="18"/>
          <w:szCs w:val="18"/>
        </w:rPr>
        <w:t xml:space="preserve"> составляется по форме согласно приложению 1 к настоящим Правилам на основании </w:t>
      </w:r>
      <w:hyperlink w:anchor="P157" w:history="1">
        <w:r w:rsidRPr="003243C6">
          <w:rPr>
            <w:rFonts w:ascii="Times New Roman" w:hAnsi="Times New Roman" w:cs="Times New Roman"/>
            <w:color w:val="0000FF"/>
            <w:sz w:val="18"/>
            <w:szCs w:val="18"/>
          </w:rPr>
          <w:t>обязательного перечня</w:t>
        </w:r>
      </w:hyperlink>
      <w:r w:rsidRPr="003243C6">
        <w:rPr>
          <w:rFonts w:ascii="Times New Roman" w:hAnsi="Times New Roman" w:cs="Times New Roman"/>
          <w:sz w:val="18"/>
          <w:szCs w:val="1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EA6E62" w:rsidRPr="003243C6" w:rsidRDefault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43C6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="00EA6E62" w:rsidRPr="003243C6">
        <w:rPr>
          <w:rFonts w:ascii="Times New Roman" w:hAnsi="Times New Roman" w:cs="Times New Roman"/>
          <w:sz w:val="18"/>
          <w:szCs w:val="1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6"/>
      <w:bookmarkStart w:id="2" w:name="sub_9"/>
      <w:bookmarkEnd w:id="1"/>
      <w:r w:rsidRPr="003243C6">
        <w:rPr>
          <w:rFonts w:ascii="Times New Roman" w:hAnsi="Times New Roman" w:cs="Times New Roman"/>
          <w:sz w:val="18"/>
          <w:szCs w:val="18"/>
        </w:rPr>
        <w:t>4. Муниципальные 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2"/>
      <w:bookmarkEnd w:id="2"/>
      <w:r w:rsidRPr="003243C6">
        <w:rPr>
          <w:rFonts w:ascii="Times New Roman" w:hAnsi="Times New Roman" w:cs="Times New Roman"/>
          <w:sz w:val="18"/>
          <w:szCs w:val="18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"/>
      <w:bookmarkEnd w:id="3"/>
      <w:r w:rsidRPr="003243C6">
        <w:rPr>
          <w:rFonts w:ascii="Times New Roman" w:hAnsi="Times New Roman" w:cs="Times New Roman"/>
          <w:sz w:val="18"/>
          <w:szCs w:val="18"/>
        </w:rPr>
        <w:t>а) доля расходов муниципальных субъектов нормирования на приобретение отдельного вида товаров, работ, услуг для обеспечения муниципальных нужд за отчетный финансовый год в общем объеме расходов соответствующего муниципального субъекта нормирования на приобретение товаров, работ, услуг за отчетный финансовый год;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1"/>
      <w:bookmarkEnd w:id="4"/>
      <w:r w:rsidRPr="003243C6">
        <w:rPr>
          <w:rFonts w:ascii="Times New Roman" w:hAnsi="Times New Roman" w:cs="Times New Roman"/>
          <w:sz w:val="18"/>
          <w:szCs w:val="18"/>
        </w:rPr>
        <w:t>б) доля контрактов муниципальных субъектов нормирования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муниципальные субъекты нормирования на приобретение товаров, работ, услуг, заключенных в отчетном финансовом году.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3"/>
      <w:bookmarkEnd w:id="5"/>
      <w:r w:rsidRPr="003243C6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3243C6">
        <w:rPr>
          <w:rFonts w:ascii="Times New Roman" w:hAnsi="Times New Roman" w:cs="Times New Roman"/>
          <w:sz w:val="18"/>
          <w:szCs w:val="18"/>
        </w:rPr>
        <w:t xml:space="preserve">Муниципальные 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2" w:history="1">
        <w:r w:rsidRPr="003243C6">
          <w:rPr>
            <w:rFonts w:ascii="Times New Roman" w:hAnsi="Times New Roman" w:cs="Times New Roman"/>
            <w:sz w:val="18"/>
            <w:szCs w:val="18"/>
          </w:rPr>
          <w:t>пунктом 5</w:t>
        </w:r>
      </w:hyperlink>
      <w:r w:rsidRPr="003243C6">
        <w:rPr>
          <w:rFonts w:ascii="Times New Roman" w:hAnsi="Times New Roman" w:cs="Times New Roman"/>
          <w:sz w:val="18"/>
          <w:szCs w:val="18"/>
        </w:rPr>
        <w:t xml:space="preserve"> Правил критерии исходя из определения их значений в процентном отношении к объему закупок, осуществляемых муниципальными органами и подведомственными им казенными и бюджетными учреждениями.</w:t>
      </w:r>
      <w:proofErr w:type="gramEnd"/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4"/>
      <w:bookmarkEnd w:id="6"/>
      <w:r w:rsidRPr="003243C6">
        <w:rPr>
          <w:rFonts w:ascii="Times New Roman" w:hAnsi="Times New Roman" w:cs="Times New Roman"/>
          <w:sz w:val="18"/>
          <w:szCs w:val="18"/>
        </w:rPr>
        <w:t xml:space="preserve">7. В ведомственном перечне муниципальные субъекты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2" w:history="1">
        <w:r w:rsidRPr="003243C6">
          <w:rPr>
            <w:rFonts w:ascii="Times New Roman" w:hAnsi="Times New Roman" w:cs="Times New Roman"/>
            <w:sz w:val="18"/>
            <w:szCs w:val="18"/>
          </w:rPr>
          <w:t>пунктом 5</w:t>
        </w:r>
      </w:hyperlink>
      <w:r w:rsidRPr="003243C6">
        <w:rPr>
          <w:rFonts w:ascii="Times New Roman" w:hAnsi="Times New Roman" w:cs="Times New Roman"/>
          <w:sz w:val="18"/>
          <w:szCs w:val="18"/>
        </w:rPr>
        <w:t xml:space="preserve"> Правил.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8"/>
      <w:bookmarkEnd w:id="7"/>
      <w:r w:rsidRPr="003243C6">
        <w:rPr>
          <w:rFonts w:ascii="Times New Roman" w:hAnsi="Times New Roman" w:cs="Times New Roman"/>
          <w:sz w:val="18"/>
          <w:szCs w:val="18"/>
        </w:rPr>
        <w:t>8. Муниципальные субъекты при формировании ведомственного перечня вправе включить в него дополнительно: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5"/>
      <w:bookmarkEnd w:id="8"/>
      <w:r w:rsidRPr="003243C6">
        <w:rPr>
          <w:rFonts w:ascii="Times New Roman" w:hAnsi="Times New Roman" w:cs="Times New Roman"/>
          <w:sz w:val="18"/>
          <w:szCs w:val="1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2" w:history="1">
        <w:r w:rsidRPr="003243C6">
          <w:rPr>
            <w:rFonts w:ascii="Times New Roman" w:hAnsi="Times New Roman" w:cs="Times New Roman"/>
            <w:sz w:val="18"/>
            <w:szCs w:val="18"/>
          </w:rPr>
          <w:t>пункте 5</w:t>
        </w:r>
      </w:hyperlink>
      <w:r w:rsidRPr="003243C6">
        <w:rPr>
          <w:rFonts w:ascii="Times New Roman" w:hAnsi="Times New Roman" w:cs="Times New Roman"/>
          <w:sz w:val="18"/>
          <w:szCs w:val="18"/>
        </w:rPr>
        <w:t xml:space="preserve"> настоящих Правил;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6"/>
      <w:bookmarkEnd w:id="9"/>
      <w:r w:rsidRPr="003243C6">
        <w:rPr>
          <w:rFonts w:ascii="Times New Roman" w:hAnsi="Times New Roman" w:cs="Times New Roman"/>
          <w:sz w:val="18"/>
          <w:szCs w:val="1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7"/>
      <w:bookmarkEnd w:id="10"/>
      <w:proofErr w:type="gramStart"/>
      <w:r w:rsidRPr="003243C6">
        <w:rPr>
          <w:rFonts w:ascii="Times New Roman" w:hAnsi="Times New Roman" w:cs="Times New Roman"/>
          <w:sz w:val="18"/>
          <w:szCs w:val="1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3243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243C6">
        <w:rPr>
          <w:rFonts w:ascii="Times New Roman" w:hAnsi="Times New Roman" w:cs="Times New Roman"/>
          <w:sz w:val="18"/>
          <w:szCs w:val="18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9"/>
      <w:bookmarkEnd w:id="11"/>
      <w:r w:rsidRPr="003243C6">
        <w:rPr>
          <w:rFonts w:ascii="Times New Roman" w:hAnsi="Times New Roman" w:cs="Times New Roman"/>
          <w:sz w:val="18"/>
          <w:szCs w:val="18"/>
        </w:rPr>
        <w:t xml:space="preserve">9. </w:t>
      </w:r>
      <w:proofErr w:type="gramStart"/>
      <w:r w:rsidRPr="003243C6">
        <w:rPr>
          <w:rFonts w:ascii="Times New Roman" w:hAnsi="Times New Roman" w:cs="Times New Roman"/>
          <w:sz w:val="18"/>
          <w:szCs w:val="1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субъектов нормирования, если затраты на их приобретение в соответствии с правилами определения нормативных затрат на обеспечение муниципальных субъектов нормирования, определяются с учетом категорий и (или) групп должностей работников.</w:t>
      </w:r>
      <w:proofErr w:type="gramEnd"/>
    </w:p>
    <w:p w:rsidR="009A0CA8" w:rsidRPr="003243C6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20"/>
      <w:bookmarkEnd w:id="12"/>
      <w:r w:rsidRPr="003243C6">
        <w:rPr>
          <w:rFonts w:ascii="Times New Roman" w:hAnsi="Times New Roman" w:cs="Times New Roman"/>
          <w:sz w:val="18"/>
          <w:szCs w:val="18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A6E62" w:rsidRPr="003243C6" w:rsidRDefault="009A0CA8" w:rsidP="003243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21"/>
      <w:bookmarkEnd w:id="13"/>
      <w:r w:rsidRPr="003243C6">
        <w:rPr>
          <w:rFonts w:ascii="Times New Roman" w:hAnsi="Times New Roman" w:cs="Times New Roman"/>
          <w:sz w:val="18"/>
          <w:szCs w:val="18"/>
        </w:rPr>
        <w:t xml:space="preserve">11. Предельные цены товаров, работ, услуг устанавливаются муниципальными субъектами в случае, если правилами определения нормативных затрат на обеспечение функций </w:t>
      </w:r>
      <w:r w:rsidR="00122122" w:rsidRPr="003243C6">
        <w:rPr>
          <w:rFonts w:ascii="Times New Roman" w:hAnsi="Times New Roman" w:cs="Times New Roman"/>
          <w:sz w:val="18"/>
          <w:szCs w:val="18"/>
        </w:rPr>
        <w:t>муниципального субъекта</w:t>
      </w:r>
      <w:r w:rsidRPr="003243C6">
        <w:rPr>
          <w:rFonts w:ascii="Times New Roman" w:hAnsi="Times New Roman" w:cs="Times New Roman"/>
          <w:sz w:val="18"/>
          <w:szCs w:val="18"/>
        </w:rPr>
        <w:t xml:space="preserve"> и подведомственных им муниципальных казенных учреждений, установлены нормативы цены на соответствующие товары, работы, услуги.</w:t>
      </w:r>
      <w:bookmarkEnd w:id="14"/>
    </w:p>
    <w:p w:rsidR="00122122" w:rsidRDefault="00122122">
      <w:pPr>
        <w:pStyle w:val="ConsPlusNormal"/>
        <w:jc w:val="right"/>
        <w:rPr>
          <w:rFonts w:ascii="Times New Roman" w:hAnsi="Times New Roman" w:cs="Times New Roman"/>
          <w:sz w:val="20"/>
        </w:rPr>
        <w:sectPr w:rsidR="00122122" w:rsidSect="003243C6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A6E62" w:rsidRPr="008E638B" w:rsidRDefault="00EA6E62" w:rsidP="00082D4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к Правилам</w:t>
      </w:r>
      <w:r w:rsidR="00122122"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</w:t>
      </w:r>
      <w:r w:rsidR="00772672">
        <w:rPr>
          <w:rFonts w:ascii="Times New Roman" w:hAnsi="Times New Roman" w:cs="Times New Roman"/>
          <w:sz w:val="20"/>
        </w:rPr>
        <w:t xml:space="preserve">администрацией Мшинского сельского </w:t>
      </w:r>
      <w:r w:rsidR="00082D4D" w:rsidRPr="00082D4D">
        <w:rPr>
          <w:rFonts w:ascii="Times New Roman" w:hAnsi="Times New Roman" w:cs="Times New Roman"/>
          <w:sz w:val="20"/>
        </w:rPr>
        <w:t>поселени</w:t>
      </w:r>
      <w:r w:rsidR="00772672">
        <w:rPr>
          <w:rFonts w:ascii="Times New Roman" w:hAnsi="Times New Roman" w:cs="Times New Roman"/>
          <w:sz w:val="20"/>
        </w:rPr>
        <w:t>я</w:t>
      </w:r>
      <w:r w:rsidR="00082D4D" w:rsidRPr="00082D4D">
        <w:rPr>
          <w:rFonts w:ascii="Times New Roman" w:hAnsi="Times New Roman" w:cs="Times New Roman"/>
          <w:sz w:val="20"/>
        </w:rPr>
        <w:t xml:space="preserve"> и подведомственными </w:t>
      </w:r>
      <w:r w:rsidR="00772672">
        <w:rPr>
          <w:rFonts w:ascii="Times New Roman" w:hAnsi="Times New Roman" w:cs="Times New Roman"/>
          <w:sz w:val="20"/>
        </w:rPr>
        <w:t>ей</w:t>
      </w:r>
      <w:r w:rsidR="00082D4D" w:rsidRPr="00082D4D">
        <w:rPr>
          <w:rFonts w:ascii="Times New Roman" w:hAnsi="Times New Roman" w:cs="Times New Roman"/>
          <w:sz w:val="20"/>
        </w:rPr>
        <w:t xml:space="preserve"> казенными и 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(Форма)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" w:name="P81"/>
      <w:bookmarkEnd w:id="15"/>
      <w:r w:rsidRPr="008E638B">
        <w:rPr>
          <w:rFonts w:ascii="Times New Roman" w:hAnsi="Times New Roman" w:cs="Times New Roman"/>
          <w:sz w:val="20"/>
        </w:rPr>
        <w:t>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свойства (в том числе качество) и иные характеристики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EA6E62" w:rsidRPr="008E638B" w:rsidTr="00122122">
        <w:tc>
          <w:tcPr>
            <w:tcW w:w="51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63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  <w:r w:rsidR="005B4601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48" w:history="1">
              <w:r w:rsidRPr="008E638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122122" w:rsidP="00772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2122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772672">
              <w:rPr>
                <w:rFonts w:ascii="Times New Roman" w:hAnsi="Times New Roman" w:cs="Times New Roman"/>
                <w:sz w:val="20"/>
              </w:rPr>
              <w:t>Мшинским сельским поселением</w:t>
            </w:r>
            <w:r w:rsidRPr="00122122">
              <w:rPr>
                <w:rFonts w:ascii="Times New Roman" w:hAnsi="Times New Roman" w:cs="Times New Roman"/>
                <w:sz w:val="20"/>
              </w:rPr>
              <w:t xml:space="preserve"> Лужского муниципального района Ленинградской области и подведомственными </w:t>
            </w:r>
            <w:r w:rsidR="00772672">
              <w:rPr>
                <w:rFonts w:ascii="Times New Roman" w:hAnsi="Times New Roman" w:cs="Times New Roman"/>
                <w:sz w:val="20"/>
              </w:rPr>
              <w:t>ему</w:t>
            </w:r>
            <w:r w:rsidRPr="00122122">
              <w:rPr>
                <w:rFonts w:ascii="Times New Roman" w:hAnsi="Times New Roman" w:cs="Times New Roman"/>
                <w:sz w:val="20"/>
              </w:rPr>
              <w:t xml:space="preserve"> казенными </w:t>
            </w:r>
            <w:r w:rsidR="007726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2122">
              <w:rPr>
                <w:rFonts w:ascii="Times New Roman" w:hAnsi="Times New Roman" w:cs="Times New Roman"/>
                <w:sz w:val="20"/>
              </w:rPr>
              <w:t xml:space="preserve">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EA6E62" w:rsidP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22122" w:rsidRPr="00122122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--------------------------------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48"/>
      <w:bookmarkEnd w:id="16"/>
      <w:r w:rsidRPr="008E638B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  <w:sectPr w:rsidR="00EA6E62" w:rsidRPr="008E638B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EA6E62" w:rsidRPr="003243C6" w:rsidRDefault="00EA6E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243C6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122122" w:rsidRPr="003243C6" w:rsidRDefault="00122122" w:rsidP="00082D4D">
      <w:pPr>
        <w:pStyle w:val="ConsPlusNormal"/>
        <w:tabs>
          <w:tab w:val="left" w:pos="9639"/>
        </w:tabs>
        <w:ind w:left="9639"/>
        <w:jc w:val="right"/>
        <w:rPr>
          <w:rFonts w:ascii="Times New Roman" w:hAnsi="Times New Roman" w:cs="Times New Roman"/>
          <w:sz w:val="16"/>
          <w:szCs w:val="16"/>
        </w:rPr>
      </w:pPr>
      <w:r w:rsidRPr="003243C6">
        <w:rPr>
          <w:rFonts w:ascii="Times New Roman" w:hAnsi="Times New Roman" w:cs="Times New Roman"/>
          <w:sz w:val="16"/>
          <w:szCs w:val="16"/>
        </w:rPr>
        <w:t xml:space="preserve">к Правилам </w:t>
      </w:r>
      <w:r w:rsidR="00082D4D" w:rsidRPr="003243C6">
        <w:rPr>
          <w:rFonts w:ascii="Times New Roman" w:hAnsi="Times New Roman" w:cs="Times New Roman"/>
          <w:sz w:val="16"/>
          <w:szCs w:val="16"/>
        </w:rPr>
        <w:t xml:space="preserve">определения требований к закупаемым </w:t>
      </w:r>
      <w:r w:rsidR="00772672" w:rsidRPr="003243C6">
        <w:rPr>
          <w:rFonts w:ascii="Times New Roman" w:hAnsi="Times New Roman" w:cs="Times New Roman"/>
          <w:sz w:val="16"/>
          <w:szCs w:val="16"/>
        </w:rPr>
        <w:t>администрацией Мшинского сельского поселения</w:t>
      </w:r>
      <w:r w:rsidR="00082D4D" w:rsidRPr="003243C6">
        <w:rPr>
          <w:rFonts w:ascii="Times New Roman" w:hAnsi="Times New Roman" w:cs="Times New Roman"/>
          <w:sz w:val="16"/>
          <w:szCs w:val="16"/>
        </w:rPr>
        <w:t xml:space="preserve"> Лужского муниципального района Ленинградской области и подведомственными </w:t>
      </w:r>
      <w:r w:rsidR="00772672" w:rsidRPr="003243C6">
        <w:rPr>
          <w:rFonts w:ascii="Times New Roman" w:hAnsi="Times New Roman" w:cs="Times New Roman"/>
          <w:sz w:val="16"/>
          <w:szCs w:val="16"/>
        </w:rPr>
        <w:t>ей</w:t>
      </w:r>
      <w:r w:rsidR="00082D4D" w:rsidRPr="003243C6">
        <w:rPr>
          <w:rFonts w:ascii="Times New Roman" w:hAnsi="Times New Roman" w:cs="Times New Roman"/>
          <w:sz w:val="16"/>
          <w:szCs w:val="16"/>
        </w:rPr>
        <w:t xml:space="preserve"> казенными и 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3243C6" w:rsidRDefault="00EA6E6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7" w:name="P157"/>
      <w:bookmarkEnd w:id="17"/>
      <w:r w:rsidRPr="003243C6">
        <w:rPr>
          <w:rFonts w:ascii="Times New Roman" w:hAnsi="Times New Roman" w:cs="Times New Roman"/>
          <w:b/>
          <w:sz w:val="16"/>
          <w:szCs w:val="16"/>
        </w:rPr>
        <w:t>ОБЯЗАТЕЛЬНЫЙ ПЕРЕЧЕНЬ</w:t>
      </w:r>
    </w:p>
    <w:p w:rsidR="00EA6E62" w:rsidRPr="003243C6" w:rsidRDefault="00EA6E6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43C6">
        <w:rPr>
          <w:rFonts w:ascii="Times New Roman" w:hAnsi="Times New Roman" w:cs="Times New Roman"/>
          <w:b/>
          <w:sz w:val="16"/>
          <w:szCs w:val="16"/>
        </w:rPr>
        <w:t>ОТДЕЛЬНЫХ ВИДОВ ТОВАРОВ, РАБОТ, УСЛУГ, В ОТНОШЕНИИ КОТОРЫХ</w:t>
      </w:r>
    </w:p>
    <w:p w:rsidR="00EA6E62" w:rsidRPr="003243C6" w:rsidRDefault="00EA6E6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43C6">
        <w:rPr>
          <w:rFonts w:ascii="Times New Roman" w:hAnsi="Times New Roman" w:cs="Times New Roman"/>
          <w:b/>
          <w:sz w:val="16"/>
          <w:szCs w:val="16"/>
        </w:rPr>
        <w:t>ОПРЕДЕЛЯЮТСЯ ТРЕБОВАНИЯ К ПОТРЕБИТЕЛЬСКИМ СВОЙСТВАМ</w:t>
      </w:r>
    </w:p>
    <w:p w:rsidR="00EA6E62" w:rsidRPr="003243C6" w:rsidRDefault="00EA6E6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43C6">
        <w:rPr>
          <w:rFonts w:ascii="Times New Roman" w:hAnsi="Times New Roman" w:cs="Times New Roman"/>
          <w:b/>
          <w:sz w:val="16"/>
          <w:szCs w:val="16"/>
        </w:rPr>
        <w:t>(В ТОМ ЧИСЛЕ КАЧЕСТВУ) И ИНЫМ ХАРАКТЕРИСТИКАМ</w:t>
      </w:r>
    </w:p>
    <w:p w:rsidR="00EA6E62" w:rsidRPr="003243C6" w:rsidRDefault="00EA6E6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43C6">
        <w:rPr>
          <w:rFonts w:ascii="Times New Roman" w:hAnsi="Times New Roman" w:cs="Times New Roman"/>
          <w:b/>
          <w:sz w:val="16"/>
          <w:szCs w:val="16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824"/>
        <w:gridCol w:w="1739"/>
        <w:gridCol w:w="2228"/>
        <w:gridCol w:w="553"/>
        <w:gridCol w:w="1097"/>
        <w:gridCol w:w="1789"/>
        <w:gridCol w:w="1819"/>
        <w:gridCol w:w="1724"/>
        <w:gridCol w:w="1706"/>
        <w:gridCol w:w="1549"/>
      </w:tblGrid>
      <w:tr w:rsidR="00082D4D" w:rsidRPr="003243C6" w:rsidTr="00AD6914">
        <w:tc>
          <w:tcPr>
            <w:tcW w:w="110" w:type="pct"/>
            <w:vMerge w:val="restart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Код по ОКПД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56" w:type="pct"/>
            <w:gridSpan w:val="8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EA" w:rsidRPr="003243C6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EA6E62" w:rsidRPr="003243C6" w:rsidRDefault="00EA6E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EA6E62" w:rsidRPr="003243C6" w:rsidRDefault="00EA6E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EA6E62" w:rsidRPr="003243C6" w:rsidRDefault="00EA6E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pct"/>
            <w:vMerge w:val="restart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характеристика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2794" w:type="pct"/>
            <w:gridSpan w:val="5"/>
            <w:shd w:val="clear" w:color="auto" w:fill="D9D9D9" w:themeFill="background1" w:themeFillShade="D9"/>
          </w:tcPr>
          <w:p w:rsidR="00EA6E62" w:rsidRPr="003243C6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значение характеристики</w:t>
            </w:r>
          </w:p>
        </w:tc>
      </w:tr>
      <w:tr w:rsidR="00AD6914" w:rsidRPr="003243C6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pct"/>
            <w:vMerge w:val="restar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код по ОКЕИ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735" w:type="pct"/>
            <w:gridSpan w:val="3"/>
            <w:shd w:val="clear" w:color="auto" w:fill="D9D9D9" w:themeFill="background1" w:themeFillShade="D9"/>
          </w:tcPr>
          <w:p w:rsidR="00A347EA" w:rsidRPr="003243C6" w:rsidRDefault="00A347EA" w:rsidP="005B4601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должности муниципальной службы категории "Руководители"</w:t>
            </w:r>
            <w:r w:rsidR="00F43B20" w:rsidRPr="003243C6">
              <w:rPr>
                <w:rFonts w:ascii="Times New Roman" w:hAnsi="Times New Roman" w:cs="Times New Roman"/>
                <w:sz w:val="12"/>
                <w:szCs w:val="12"/>
              </w:rPr>
              <w:t>/Руководители учреждений/Руководители муниципальных унитарных предприятий</w:t>
            </w: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A347EA" w:rsidRPr="003243C6" w:rsidRDefault="00A347EA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F43B20" w:rsidRPr="003243C6" w:rsidRDefault="00A347EA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должности муниципальной службы </w:t>
            </w:r>
            <w:r w:rsidR="00F43B20" w:rsidRPr="003243C6">
              <w:rPr>
                <w:rFonts w:ascii="Times New Roman" w:hAnsi="Times New Roman" w:cs="Times New Roman"/>
                <w:sz w:val="12"/>
                <w:szCs w:val="12"/>
              </w:rPr>
              <w:t>категории "Специалисты"</w:t>
            </w:r>
          </w:p>
          <w:p w:rsidR="00A347EA" w:rsidRPr="003243C6" w:rsidRDefault="00F43B20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Сотрудники учреждений/Работники муниципальных унитарных предприятий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</w:tcPr>
          <w:p w:rsidR="00A347EA" w:rsidRPr="003243C6" w:rsidRDefault="00A347EA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должности муниципальной службы категории "Обеспечивающие специалисты"</w:t>
            </w:r>
          </w:p>
        </w:tc>
      </w:tr>
      <w:tr w:rsidR="00AD6914" w:rsidRPr="003243C6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:rsidR="00A347EA" w:rsidRPr="003243C6" w:rsidRDefault="00A347EA" w:rsidP="005B46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Высшие</w:t>
            </w:r>
            <w:r w:rsidR="00E31A76"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/главные </w:t>
            </w: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должности муниципальной службы</w:t>
            </w: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A347EA" w:rsidRPr="003243C6" w:rsidRDefault="00A347EA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Ведущие должности муниципальной службы</w:t>
            </w:r>
            <w:r w:rsidR="00F43B20" w:rsidRPr="003243C6">
              <w:rPr>
                <w:rFonts w:ascii="Times New Roman" w:hAnsi="Times New Roman" w:cs="Times New Roman"/>
                <w:sz w:val="12"/>
                <w:szCs w:val="12"/>
              </w:rPr>
              <w:t>/ Руководители учреждений/Руководители муниципальных унитарных предприятий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иные должности</w:t>
            </w: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</w:tcPr>
          <w:p w:rsidR="00A347EA" w:rsidRPr="003243C6" w:rsidRDefault="00A347E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6914" w:rsidRPr="003243C6" w:rsidTr="00AD6914">
        <w:tc>
          <w:tcPr>
            <w:tcW w:w="110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A347EA" w:rsidRPr="003243C6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0E086C" w:rsidRPr="003243C6" w:rsidTr="00AD6914">
        <w:tc>
          <w:tcPr>
            <w:tcW w:w="110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8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32.20.11</w:t>
            </w:r>
          </w:p>
        </w:tc>
        <w:tc>
          <w:tcPr>
            <w:tcW w:w="566" w:type="pct"/>
          </w:tcPr>
          <w:p w:rsidR="000E086C" w:rsidRPr="003243C6" w:rsidRDefault="000E086C" w:rsidP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Аппаратура</w:t>
            </w:r>
            <w:proofErr w:type="gramEnd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25" w:type="pct"/>
          </w:tcPr>
          <w:p w:rsidR="000E086C" w:rsidRPr="003243C6" w:rsidRDefault="000E086C" w:rsidP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357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582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Не более 15000</w:t>
            </w:r>
          </w:p>
        </w:tc>
        <w:tc>
          <w:tcPr>
            <w:tcW w:w="592" w:type="pct"/>
          </w:tcPr>
          <w:p w:rsidR="000E086C" w:rsidRPr="003243C6" w:rsidRDefault="000E086C" w:rsidP="00AD691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Не более 1</w:t>
            </w:r>
            <w:r w:rsidR="00AD6914" w:rsidRPr="003243C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61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pc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Не более 5000</w:t>
            </w:r>
          </w:p>
        </w:tc>
        <w:tc>
          <w:tcPr>
            <w:tcW w:w="504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6914" w:rsidRPr="003243C6" w:rsidTr="00AD6914">
        <w:tc>
          <w:tcPr>
            <w:tcW w:w="110" w:type="pct"/>
          </w:tcPr>
          <w:p w:rsidR="00AD6914" w:rsidRPr="003243C6" w:rsidRDefault="00AD691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8" w:type="pct"/>
          </w:tcPr>
          <w:p w:rsidR="00AD6914" w:rsidRPr="003243C6" w:rsidRDefault="00AD691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36.11.11</w:t>
            </w:r>
          </w:p>
        </w:tc>
        <w:tc>
          <w:tcPr>
            <w:tcW w:w="566" w:type="pct"/>
          </w:tcPr>
          <w:p w:rsidR="00AD6914" w:rsidRPr="003243C6" w:rsidRDefault="00AD691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Мебель для сидения с металлическим каркасом</w:t>
            </w:r>
          </w:p>
        </w:tc>
        <w:tc>
          <w:tcPr>
            <w:tcW w:w="725" w:type="pct"/>
          </w:tcPr>
          <w:p w:rsidR="00AD6914" w:rsidRPr="003243C6" w:rsidRDefault="00AD691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80" w:type="pct"/>
          </w:tcPr>
          <w:p w:rsidR="00AD6914" w:rsidRPr="003243C6" w:rsidRDefault="00AD691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</w:tcPr>
          <w:p w:rsidR="00AD6914" w:rsidRPr="003243C6" w:rsidRDefault="00AD691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" w:type="pct"/>
          </w:tcPr>
          <w:p w:rsidR="00AD6914" w:rsidRPr="003243C6" w:rsidRDefault="00AD691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 - кожа натуральная. </w:t>
            </w: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92" w:type="pct"/>
          </w:tcPr>
          <w:p w:rsidR="00AD6914" w:rsidRPr="003243C6" w:rsidRDefault="00AD691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 - кожа натуральная. </w:t>
            </w: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1" w:type="pct"/>
          </w:tcPr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искусственная кожа.</w:t>
            </w:r>
          </w:p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</w:t>
            </w:r>
          </w:p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микрофибра</w:t>
            </w:r>
            <w:proofErr w:type="spellEnd"/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), ткань, нетканые материалы</w:t>
            </w:r>
          </w:p>
        </w:tc>
        <w:tc>
          <w:tcPr>
            <w:tcW w:w="555" w:type="pct"/>
          </w:tcPr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искусственная кожа.</w:t>
            </w:r>
          </w:p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</w:t>
            </w:r>
          </w:p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микрофибра</w:t>
            </w:r>
            <w:proofErr w:type="spellEnd"/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), ткань, нетканые материалы</w:t>
            </w:r>
          </w:p>
        </w:tc>
        <w:tc>
          <w:tcPr>
            <w:tcW w:w="504" w:type="pct"/>
          </w:tcPr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ткань.</w:t>
            </w:r>
          </w:p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</w:t>
            </w:r>
          </w:p>
          <w:p w:rsidR="00AD6914" w:rsidRPr="003243C6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243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нетканые материалы</w:t>
            </w:r>
          </w:p>
        </w:tc>
      </w:tr>
      <w:tr w:rsidR="000E086C" w:rsidRPr="003243C6" w:rsidTr="00AD6914">
        <w:tc>
          <w:tcPr>
            <w:tcW w:w="110" w:type="pct"/>
            <w:vMerge w:val="restar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8" w:type="pct"/>
            <w:vMerge w:val="restart"/>
          </w:tcPr>
          <w:p w:rsidR="000E086C" w:rsidRPr="003243C6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36.11.12</w:t>
            </w:r>
          </w:p>
        </w:tc>
        <w:tc>
          <w:tcPr>
            <w:tcW w:w="566" w:type="pct"/>
            <w:vMerge w:val="restar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Мебель для сидения с деревянным каркасом</w:t>
            </w:r>
          </w:p>
        </w:tc>
        <w:tc>
          <w:tcPr>
            <w:tcW w:w="725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180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МДФ, ДСП и иные материалы</w:t>
            </w:r>
          </w:p>
        </w:tc>
        <w:tc>
          <w:tcPr>
            <w:tcW w:w="592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МДФ, ДСП и иные материалы</w:t>
            </w:r>
          </w:p>
        </w:tc>
        <w:tc>
          <w:tcPr>
            <w:tcW w:w="561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МДФ, ДСП и иные материалы</w:t>
            </w:r>
          </w:p>
        </w:tc>
        <w:tc>
          <w:tcPr>
            <w:tcW w:w="555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Возможное значение: МДФ, ДСП и иные материалы</w:t>
            </w:r>
          </w:p>
        </w:tc>
        <w:tc>
          <w:tcPr>
            <w:tcW w:w="504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Возможное значение: МДФ, ДСП и иные материалы</w:t>
            </w:r>
          </w:p>
        </w:tc>
      </w:tr>
      <w:tr w:rsidR="000E086C" w:rsidRPr="003243C6" w:rsidTr="00AD6914">
        <w:tc>
          <w:tcPr>
            <w:tcW w:w="110" w:type="pct"/>
            <w:vMerge/>
          </w:tcPr>
          <w:p w:rsidR="000E086C" w:rsidRPr="003243C6" w:rsidRDefault="000E08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pct"/>
            <w:vMerge/>
          </w:tcPr>
          <w:p w:rsidR="000E086C" w:rsidRPr="003243C6" w:rsidRDefault="000E08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pct"/>
            <w:vMerge/>
          </w:tcPr>
          <w:p w:rsidR="000E086C" w:rsidRPr="003243C6" w:rsidRDefault="000E08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180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 - кожа натуральная. </w:t>
            </w: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</w:t>
            </w: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92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Предельное значение - кожа натуральная. </w:t>
            </w: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</w:t>
            </w: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1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55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4" w:type="pct"/>
          </w:tcPr>
          <w:p w:rsidR="000E086C" w:rsidRPr="003243C6" w:rsidRDefault="000E086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Предельное значение - ткань. Возможное значение </w:t>
            </w: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 нетканые материалы</w:t>
            </w:r>
          </w:p>
        </w:tc>
      </w:tr>
      <w:tr w:rsidR="002B173E" w:rsidRPr="003243C6" w:rsidTr="00AD6914">
        <w:tc>
          <w:tcPr>
            <w:tcW w:w="110" w:type="pct"/>
          </w:tcPr>
          <w:p w:rsidR="002B173E" w:rsidRPr="003243C6" w:rsidRDefault="002B173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268" w:type="pct"/>
          </w:tcPr>
          <w:p w:rsidR="002B173E" w:rsidRPr="003243C6" w:rsidRDefault="002B173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36.12.12</w:t>
            </w:r>
          </w:p>
        </w:tc>
        <w:tc>
          <w:tcPr>
            <w:tcW w:w="566" w:type="pct"/>
          </w:tcPr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25" w:type="pct"/>
          </w:tcPr>
          <w:p w:rsidR="002B173E" w:rsidRPr="003243C6" w:rsidRDefault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180" w:type="pct"/>
          </w:tcPr>
          <w:p w:rsidR="002B173E" w:rsidRPr="003243C6" w:rsidRDefault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pct"/>
          </w:tcPr>
          <w:p w:rsidR="002B173E" w:rsidRPr="003243C6" w:rsidRDefault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" w:type="pct"/>
          </w:tcPr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</w:t>
            </w:r>
          </w:p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МДФ, ДСП и иные материалы</w:t>
            </w:r>
          </w:p>
        </w:tc>
        <w:tc>
          <w:tcPr>
            <w:tcW w:w="592" w:type="pct"/>
          </w:tcPr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</w:t>
            </w:r>
          </w:p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МДФ, ДСП и иные материалы</w:t>
            </w:r>
          </w:p>
        </w:tc>
        <w:tc>
          <w:tcPr>
            <w:tcW w:w="561" w:type="pct"/>
          </w:tcPr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</w:t>
            </w:r>
          </w:p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МДФ, ДСП и иные материалы</w:t>
            </w:r>
          </w:p>
        </w:tc>
        <w:tc>
          <w:tcPr>
            <w:tcW w:w="555" w:type="pct"/>
          </w:tcPr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Возможное значение:</w:t>
            </w:r>
          </w:p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МДФ, ДСП и иные материалы</w:t>
            </w:r>
          </w:p>
        </w:tc>
        <w:tc>
          <w:tcPr>
            <w:tcW w:w="504" w:type="pct"/>
          </w:tcPr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Возможное значение:</w:t>
            </w:r>
          </w:p>
          <w:p w:rsidR="002B173E" w:rsidRPr="003243C6" w:rsidRDefault="002B173E" w:rsidP="002B173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243C6">
              <w:rPr>
                <w:rFonts w:ascii="Times New Roman" w:hAnsi="Times New Roman" w:cs="Times New Roman"/>
                <w:sz w:val="12"/>
                <w:szCs w:val="12"/>
              </w:rPr>
              <w:t>МДФ, ДСП и иные материалы</w:t>
            </w:r>
          </w:p>
        </w:tc>
      </w:tr>
    </w:tbl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7407D2" w:rsidRPr="008E638B" w:rsidRDefault="007407D2">
      <w:pPr>
        <w:rPr>
          <w:rFonts w:ascii="Times New Roman" w:hAnsi="Times New Roman" w:cs="Times New Roman"/>
          <w:sz w:val="20"/>
          <w:szCs w:val="20"/>
        </w:rPr>
      </w:pPr>
    </w:p>
    <w:p w:rsidR="00EA6E62" w:rsidRPr="008E638B" w:rsidRDefault="00EA6E62">
      <w:pPr>
        <w:rPr>
          <w:rFonts w:ascii="Times New Roman" w:hAnsi="Times New Roman" w:cs="Times New Roman"/>
          <w:sz w:val="20"/>
          <w:szCs w:val="20"/>
        </w:rPr>
      </w:pPr>
    </w:p>
    <w:p w:rsidR="008E638B" w:rsidRPr="008E638B" w:rsidRDefault="008E638B">
      <w:pPr>
        <w:rPr>
          <w:rFonts w:ascii="Times New Roman" w:hAnsi="Times New Roman" w:cs="Times New Roman"/>
          <w:sz w:val="20"/>
          <w:szCs w:val="20"/>
        </w:rPr>
      </w:pPr>
    </w:p>
    <w:sectPr w:rsidR="008E638B" w:rsidRPr="008E638B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E62"/>
    <w:rsid w:val="000167BA"/>
    <w:rsid w:val="00055875"/>
    <w:rsid w:val="00082D4D"/>
    <w:rsid w:val="000A494C"/>
    <w:rsid w:val="000E086C"/>
    <w:rsid w:val="00122122"/>
    <w:rsid w:val="00190362"/>
    <w:rsid w:val="002848EE"/>
    <w:rsid w:val="002B173E"/>
    <w:rsid w:val="003243C6"/>
    <w:rsid w:val="003B1599"/>
    <w:rsid w:val="003C1CD2"/>
    <w:rsid w:val="003C2EC3"/>
    <w:rsid w:val="003F6738"/>
    <w:rsid w:val="00475BF4"/>
    <w:rsid w:val="004B0869"/>
    <w:rsid w:val="004F0B4A"/>
    <w:rsid w:val="004F3209"/>
    <w:rsid w:val="00525B2F"/>
    <w:rsid w:val="00584939"/>
    <w:rsid w:val="005A55EB"/>
    <w:rsid w:val="005B4601"/>
    <w:rsid w:val="005E6350"/>
    <w:rsid w:val="006D4AF8"/>
    <w:rsid w:val="007407D2"/>
    <w:rsid w:val="00772672"/>
    <w:rsid w:val="007A7671"/>
    <w:rsid w:val="00845C2D"/>
    <w:rsid w:val="008E0C55"/>
    <w:rsid w:val="008E638B"/>
    <w:rsid w:val="009015EC"/>
    <w:rsid w:val="009378A5"/>
    <w:rsid w:val="00963A3A"/>
    <w:rsid w:val="009A0CA8"/>
    <w:rsid w:val="00A03C5A"/>
    <w:rsid w:val="00A347EA"/>
    <w:rsid w:val="00A42DB3"/>
    <w:rsid w:val="00A70E6B"/>
    <w:rsid w:val="00AD6914"/>
    <w:rsid w:val="00B02FD9"/>
    <w:rsid w:val="00BC00AD"/>
    <w:rsid w:val="00BC3210"/>
    <w:rsid w:val="00C6142C"/>
    <w:rsid w:val="00CF1138"/>
    <w:rsid w:val="00D2122D"/>
    <w:rsid w:val="00D95FFF"/>
    <w:rsid w:val="00DC3CA9"/>
    <w:rsid w:val="00E22890"/>
    <w:rsid w:val="00E31A76"/>
    <w:rsid w:val="00E64EF8"/>
    <w:rsid w:val="00E7400A"/>
    <w:rsid w:val="00EA6E62"/>
    <w:rsid w:val="00F43B20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11CE06F38A708477A63B147D5169FD0CB36868B409F18F83010A029A4EF7D771BD83600CX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4938-8EAA-4201-9A78-E5AE458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Пользователь</cp:lastModifiedBy>
  <cp:revision>3</cp:revision>
  <cp:lastPrinted>2019-01-15T11:31:00Z</cp:lastPrinted>
  <dcterms:created xsi:type="dcterms:W3CDTF">2019-01-10T08:19:00Z</dcterms:created>
  <dcterms:modified xsi:type="dcterms:W3CDTF">2019-01-15T11:31:00Z</dcterms:modified>
</cp:coreProperties>
</file>